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28998"/>
      <w:r/>
      <w:bookmarkStart w:id="1" w:name="_Toc15109"/>
      <w:r/>
      <w:bookmarkStart w:id="2" w:name="_Toc10112"/>
      <w:r>
        <w:rPr>
          <w:rFonts w:hint="eastAsia" w:ascii="仿宋" w:hAnsi="仿宋" w:eastAsia="仿宋" w:cs="仿宋"/>
          <w:b/>
          <w:bCs/>
          <w:sz w:val="84"/>
          <w:szCs w:val="24"/>
        </w:rPr>
        <w:t xml:space="preserve">竞争性磋商文件</w:t>
      </w:r>
      <w:bookmarkEnd w:id="0"/>
      <w:r/>
      <w:bookmarkEnd w:id="1"/>
      <w:r/>
      <w:bookmarkEnd w:id="2"/>
      <w:r/>
      <w:r/>
    </w:p>
    <w:p>
      <w:pPr>
        <w:ind w:firstLine="420"/>
        <w:jc w:val="center"/>
        <w:spacing w:before="120" w:after="120" w:line="360" w:lineRule="auto"/>
        <w:rPr>
          <w:rFonts w:ascii="仿宋" w:hAnsi="仿宋" w:eastAsia="仿宋" w:cs="仿宋"/>
          <w:b/>
          <w:bCs/>
          <w:sz w:val="32"/>
          <w:szCs w:val="24"/>
          <w:u w:val="single"/>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如东县“苏服办”APP旗舰店改造项目</w:t>
      </w:r>
      <w:r/>
    </w:p>
    <w:p>
      <w:pPr>
        <w:ind w:left="2811" w:hanging="3213"/>
        <w:jc w:val="center"/>
        <w:rPr>
          <w:rFonts w:hint="eastAsia" w:ascii="仿宋" w:hAnsi="仿宋" w:eastAsia="仿宋" w:cs="仿宋"/>
          <w:b/>
          <w:bCs/>
          <w:sz w:val="32"/>
          <w:szCs w:val="24"/>
        </w:rPr>
        <w:outlineLvl w:val="0"/>
      </w:pPr>
      <w:r/>
      <w:bookmarkStart w:id="3" w:name="_Toc11109"/>
      <w:r/>
      <w:bookmarkStart w:id="4" w:name="_Toc9771"/>
      <w:r/>
      <w:bookmarkStart w:id="5" w:name="_Toc15853"/>
      <w:r>
        <w:rPr>
          <w:rFonts w:hint="eastAsia" w:ascii="仿宋" w:hAnsi="仿宋" w:eastAsia="仿宋" w:cs="仿宋"/>
          <w:b/>
          <w:bCs/>
          <w:sz w:val="32"/>
          <w:szCs w:val="24"/>
        </w:rPr>
        <w:t xml:space="preserve">项目编号：</w:t>
      </w:r>
      <w:bookmarkEnd w:id="3"/>
      <w:r/>
      <w:bookmarkEnd w:id="4"/>
      <w:r/>
      <w:bookmarkEnd w:id="5"/>
      <w:r/>
      <w:bookmarkStart w:id="6" w:name="_Toc2726"/>
      <w:r/>
      <w:bookmarkStart w:id="7" w:name="_Toc24406"/>
      <w:r/>
      <w:bookmarkStart w:id="8" w:name="_Toc31007"/>
      <w:r>
        <w:rPr>
          <w:rFonts w:hint="eastAsia" w:ascii="仿宋" w:hAnsi="仿宋" w:eastAsia="仿宋" w:cs="仿宋"/>
          <w:b/>
          <w:bCs/>
          <w:sz w:val="32"/>
          <w:szCs w:val="24"/>
        </w:rPr>
        <w:t xml:space="preserve">JSZC-320623-JZCG-C2025-0072</w:t>
      </w:r>
      <w:r/>
    </w:p>
    <w:p>
      <w:pPr>
        <w:ind w:left="2811" w:hanging="2811"/>
        <w:jc w:val="center"/>
        <w:rPr>
          <w:rFonts w:ascii="仿宋" w:hAnsi="仿宋" w:eastAsia="仿宋" w:cs="仿宋"/>
          <w:b/>
          <w:sz w:val="28"/>
          <w:szCs w:val="28"/>
        </w:rPr>
        <w:outlineLvl w:val="0"/>
      </w:pPr>
      <w:r>
        <w:rPr>
          <w:rFonts w:hint="eastAsia" w:ascii="仿宋" w:hAnsi="仿宋" w:eastAsia="仿宋" w:cs="仿宋"/>
          <w:b/>
          <w:sz w:val="28"/>
          <w:szCs w:val="28"/>
        </w:rPr>
        <w:t xml:space="preserve">（全流程电子化，适用苏采云系统）</w:t>
      </w:r>
      <w:bookmarkEnd w:id="6"/>
      <w:r/>
      <w:bookmarkEnd w:id="7"/>
      <w:r/>
      <w:bookmarkEnd w:id="8"/>
      <w:r/>
      <w:r/>
    </w:p>
    <w:p>
      <w:pPr>
        <w:ind w:firstLine="1470"/>
        <w:jc w:val="left"/>
        <w:spacing w:before="120" w:after="120" w:line="360" w:lineRule="auto"/>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center"/>
        <w:spacing w:before="120" w:after="120" w:line="360" w:lineRule="auto"/>
        <w:rPr>
          <w:rFonts w:ascii="仿宋" w:hAnsi="仿宋" w:eastAsia="仿宋" w:cs="仿宋"/>
          <w:b/>
          <w:bCs/>
          <w:sz w:val="32"/>
          <w:szCs w:val="24"/>
        </w:rPr>
        <w:outlineLvl w:val="0"/>
      </w:pPr>
      <w:r/>
      <w:bookmarkStart w:id="9" w:name="_Toc17627"/>
      <w:r/>
      <w:bookmarkStart w:id="10" w:name="_Toc1606"/>
      <w:r/>
      <w:bookmarkStart w:id="11" w:name="_Toc29464"/>
      <w:r>
        <w:rPr>
          <w:rFonts w:hint="eastAsia" w:ascii="仿宋" w:hAnsi="仿宋" w:eastAsia="仿宋" w:cs="仿宋"/>
          <w:b/>
          <w:bCs/>
          <w:sz w:val="32"/>
          <w:szCs w:val="24"/>
        </w:rPr>
        <w:t xml:space="preserve">如东县公共资源交易中心</w:t>
      </w:r>
      <w:bookmarkEnd w:id="9"/>
      <w:r/>
      <w:bookmarkEnd w:id="10"/>
      <w:r/>
      <w:bookmarkEnd w:id="11"/>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2025年12月</w:t>
      </w:r>
      <w:r/>
    </w:p>
    <w:p>
      <w:pPr>
        <w:jc w:val="left"/>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ascii="仿宋" w:hAnsi="仿宋" w:eastAsia="仿宋" w:cs="仿宋"/>
          <w:sz w:val="24"/>
          <w:szCs w:val="24"/>
        </w:rPr>
      </w:pPr>
      <w:r>
        <w:rPr>
          <w:rFonts w:ascii="仿宋" w:hAnsi="仿宋" w:eastAsia="仿宋" w:cs="仿宋"/>
          <w:sz w:val="24"/>
          <w:szCs w:val="24"/>
        </w:rPr>
      </w:r>
      <w:r/>
    </w:p>
    <w:p>
      <w:pPr>
        <w:numPr>
          <w:ilvl w:val="0"/>
          <w:numId w:val="1"/>
        </w:numPr>
        <w:spacing w:line="480" w:lineRule="auto"/>
        <w:rPr>
          <w:rFonts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479757206"/>
      <w:r/>
      <w:bookmarkStart w:id="14" w:name="_Toc20823272"/>
      <w:r/>
      <w:bookmarkStart w:id="15" w:name="_Toc16938516"/>
      <w:r/>
      <w:bookmarkStart w:id="16" w:name="_Toc523127445"/>
      <w:r/>
      <w:bookmarkStart w:id="17" w:name="_Toc513029200"/>
      <w:r/>
      <w:r/>
    </w:p>
    <w:sdt>
      <w:sdtPr>
        <w15:appearance w15:val="boundingBox"/>
        <w:id w:val="147461818"/>
        <w:docPartObj>
          <w:docPartGallery w:val="Table of Contents"/>
          <w:docPartUnique w:val="true"/>
        </w:docPartObj>
        <w:rPr>
          <w:rFonts w:hint="eastAsia" w:ascii="仿宋" w:hAnsi="仿宋" w:eastAsia="仿宋" w:cs="仿宋"/>
          <w:sz w:val="44"/>
          <w:szCs w:val="44"/>
        </w:rPr>
      </w:sdtPr>
      <w:sdtContent>
        <w:p>
          <w:pPr>
            <w:jc w:val="center"/>
            <w:rPr>
              <w:rFonts w:ascii="仿宋" w:hAnsi="仿宋" w:eastAsia="仿宋" w:cs="仿宋"/>
              <w:b/>
              <w:bCs/>
              <w:sz w:val="36"/>
              <w:szCs w:val="36"/>
            </w:rPr>
          </w:pPr>
          <w:r>
            <w:rPr>
              <w:rFonts w:hint="eastAsia" w:ascii="仿宋" w:hAnsi="仿宋" w:eastAsia="仿宋" w:cs="仿宋"/>
              <w:b/>
              <w:bCs/>
              <w:sz w:val="44"/>
              <w:szCs w:val="44"/>
            </w:rPr>
            <w:t xml:space="preserve">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id w:val="147468029"/>
            <w:docPartObj>
              <w:docPartGallery w:val="Table of Contents"/>
              <w:docPartUnique w:val="true"/>
            </w:docPartObj>
            <w:rPr>
              <w:rFonts w:hint="eastAsia" w:ascii="仿宋" w:hAnsi="仿宋" w:eastAsia="仿宋" w:cs="仿宋"/>
              <w:sz w:val="36"/>
              <w:szCs w:val="36"/>
            </w:rPr>
          </w:sdtPr>
          <w:sdtContent>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663"/>
                <w:tabs>
                  <w:tab w:val="right" w:pos="8953" w:leader="dot"/>
                </w:tabs>
                <w:rPr>
                  <w:rFonts w:ascii="仿宋" w:hAnsi="仿宋" w:eastAsia="仿宋" w:cs="仿宋"/>
                  <w:b/>
                  <w:bCs/>
                  <w:sz w:val="36"/>
                  <w:szCs w:val="36"/>
                </w:rPr>
              </w:pPr>
              <w:r>
                <w:fldChar w:fldCharType="begin"/>
              </w:r>
              <w:r>
                <w:instrText xml:space="preserve"> HYPERLINK \l "_Toc31671" </w:instrText>
              </w:r>
              <w:r>
                <w:fldChar w:fldCharType="separate"/>
              </w:r>
              <w:r>
                <w:rPr>
                  <w:rFonts w:hint="eastAsia" w:ascii="仿宋" w:hAnsi="仿宋" w:eastAsia="仿宋" w:cs="仿宋"/>
                  <w:b/>
                  <w:bCs/>
                  <w:sz w:val="36"/>
                  <w:szCs w:val="36"/>
                </w:rPr>
                <w:t xml:space="preserve">第一章  磋商邀请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_Toc31671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"_Toc16207" </w:instrText>
              </w:r>
              <w:r>
                <w:fldChar w:fldCharType="separate"/>
              </w:r>
              <w:r>
                <w:rPr>
                  <w:rFonts w:hint="eastAsia" w:ascii="仿宋" w:hAnsi="仿宋" w:eastAsia="仿宋" w:cs="仿宋"/>
                  <w:b/>
                  <w:bCs/>
                  <w:sz w:val="36"/>
                  <w:szCs w:val="36"/>
                </w:rPr>
                <w:t xml:space="preserve">第二章  供应商须知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_Toc16207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７</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"_Toc20527" </w:instrText>
              </w:r>
              <w:r>
                <w:fldChar w:fldCharType="separate"/>
              </w:r>
              <w:r>
                <w:rPr>
                  <w:rFonts w:hint="eastAsia" w:ascii="仿宋" w:hAnsi="仿宋" w:eastAsia="仿宋" w:cs="仿宋"/>
                  <w:b/>
                  <w:bCs/>
                  <w:sz w:val="36"/>
                  <w:szCs w:val="36"/>
                </w:rPr>
                <w:t xml:space="preserve">第三章  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_Toc20527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２０</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"_Toc20693" </w:instrText>
              </w:r>
              <w:r>
                <w:fldChar w:fldCharType="separate"/>
              </w:r>
              <w:r>
                <w:rPr>
                  <w:rFonts w:hint="eastAsia" w:ascii="仿宋" w:hAnsi="仿宋" w:eastAsia="仿宋" w:cs="仿宋"/>
                  <w:b/>
                  <w:bCs/>
                  <w:sz w:val="36"/>
                  <w:szCs w:val="36"/>
                </w:rPr>
                <w:t xml:space="preserve">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_Toc20693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２５</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"_Toc88" </w:instrText>
              </w:r>
              <w:r>
                <w:fldChar w:fldCharType="separate"/>
              </w:r>
              <w:r>
                <w:rPr>
                  <w:rFonts w:hint="eastAsia" w:ascii="仿宋" w:hAnsi="仿宋" w:eastAsia="仿宋" w:cs="仿宋"/>
                  <w:b/>
                  <w:bCs/>
                  <w:sz w:val="36"/>
                  <w:szCs w:val="36"/>
                </w:rPr>
                <w:t xml:space="preserve">第五章  评审方法与评审标准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_Toc88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２９</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"_Toc806" </w:instrText>
              </w:r>
              <w:r>
                <w:fldChar w:fldCharType="separate"/>
              </w:r>
              <w:r>
                <w:rPr>
                  <w:rFonts w:hint="eastAsia" w:ascii="仿宋" w:hAnsi="仿宋" w:eastAsia="仿宋" w:cs="仿宋"/>
                  <w:b/>
                  <w:bCs/>
                  <w:sz w:val="36"/>
                  <w:szCs w:val="36"/>
                </w:rPr>
                <w:t xml:space="preserve">第六章  响应文件格式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_Toc806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３２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663"/>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663"/>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fldChar w:fldCharType="end"/>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keepNext/>
        <w:rPr>
          <w:rFonts w:ascii="仿宋" w:hAnsi="仿宋" w:eastAsia="仿宋" w:cs="仿宋"/>
          <w:sz w:val="44"/>
          <w:szCs w:val="44"/>
        </w:rPr>
        <w:outlineLvl w:val="0"/>
      </w:pPr>
      <w:r/>
      <w:bookmarkStart w:id="18" w:name="_Toc5588"/>
      <w:r/>
      <w:bookmarkStart w:id="19" w:name="_Toc28664"/>
      <w:r/>
      <w:bookmarkStart w:id="20" w:name="_Toc31671"/>
      <w:r/>
      <w:r/>
    </w:p>
    <w:p>
      <w:pPr>
        <w:rPr>
          <w:rFonts w:ascii="仿宋" w:hAnsi="仿宋" w:eastAsia="仿宋" w:cs="仿宋"/>
          <w:b/>
          <w:bCs/>
          <w:sz w:val="44"/>
          <w:szCs w:val="44"/>
        </w:rPr>
      </w:pPr>
      <w:r>
        <w:rPr>
          <w:rFonts w:hint="eastAsia" w:ascii="仿宋" w:hAnsi="仿宋" w:eastAsia="仿宋" w:cs="仿宋"/>
          <w:b/>
          <w:bCs/>
          <w:sz w:val="44"/>
          <w:szCs w:val="44"/>
        </w:rPr>
        <w:br w:type="page" w:clear="all"/>
      </w:r>
      <w:r/>
    </w:p>
    <w:p>
      <w:pPr>
        <w:jc w:val="center"/>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ascii="仿宋" w:hAnsi="仿宋" w:eastAsia="仿宋" w:cs="仿宋"/>
          <w:sz w:val="24"/>
          <w:szCs w:val="24"/>
        </w:rPr>
      </w:pPr>
      <w:r>
        <w:rPr>
          <w:rFonts w:hint="eastAsia" w:ascii="仿宋" w:hAnsi="仿宋" w:eastAsia="仿宋" w:cs="仿宋"/>
          <w:sz w:val="24"/>
          <w:szCs w:val="24"/>
          <w:highlight w:val="none"/>
        </w:rPr>
        <w:t xml:space="preserve">受[如东县数据局]的委托，如东县公共资源交易中心就[如东县“苏服办”APP旗舰店改造项目]([JSZC-320623-JZCG-C2025-0072])项目进</w:t>
      </w:r>
      <w:r>
        <w:rPr>
          <w:rFonts w:hint="eastAsia" w:ascii="仿宋" w:hAnsi="仿宋" w:eastAsia="仿宋" w:cs="仿宋"/>
          <w:sz w:val="24"/>
          <w:szCs w:val="24"/>
        </w:rPr>
        <w:t xml:space="preserve">行竞争性磋商采购，欢迎符合条件的供应商参加磋商。</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 如东县“苏服办”APP旗舰店</w:t>
      </w:r>
      <w:r>
        <w:rPr>
          <w:rFonts w:hint="eastAsia" w:ascii="仿宋" w:hAnsi="仿宋" w:eastAsia="仿宋" w:cs="仿宋"/>
          <w:sz w:val="24"/>
          <w:szCs w:val="24"/>
          <w:u w:val="single"/>
          <w:lang w:eastAsia="zh-CN"/>
        </w:rPr>
        <w:t xml:space="preserve">改造</w:t>
      </w:r>
      <w:r>
        <w:rPr>
          <w:rFonts w:hint="eastAsia" w:ascii="仿宋" w:hAnsi="仿宋" w:eastAsia="仿宋" w:cs="仿宋"/>
          <w:sz w:val="24"/>
          <w:szCs w:val="24"/>
          <w:u w:val="single"/>
        </w:rPr>
        <w:t xml:space="preserve">项目</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w:t>
      </w:r>
      <w:r>
        <w:rPr>
          <w:rFonts w:hint="eastAsia" w:ascii="仿宋" w:hAnsi="仿宋" w:eastAsia="仿宋" w:cs="仿宋"/>
          <w:sz w:val="24"/>
          <w:szCs w:val="24"/>
          <w:highlight w:val="none"/>
        </w:rPr>
        <w:t xml:space="preserve">并于</w:t>
      </w:r>
      <w:r>
        <w:rPr>
          <w:rFonts w:hint="eastAsia" w:ascii="仿宋" w:hAnsi="仿宋" w:eastAsia="仿宋" w:cs="仿宋"/>
          <w:sz w:val="24"/>
          <w:szCs w:val="24"/>
          <w:highlight w:val="none"/>
          <w:u w:val="single"/>
          <w:lang w:val="en-US" w:eastAsia="zh-CN"/>
        </w:rPr>
        <w:t xml:space="preserve">2025</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12</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26</w:t>
      </w:r>
      <w:r>
        <w:rPr>
          <w:rFonts w:hint="eastAsia" w:ascii="仿宋" w:hAnsi="仿宋" w:eastAsia="仿宋" w:cs="仿宋"/>
          <w:bCs/>
          <w:sz w:val="24"/>
          <w:szCs w:val="24"/>
          <w:highlight w:val="none"/>
          <w:u w:val="single"/>
        </w:rPr>
        <w:t xml:space="preserve">日8点30分（</w:t>
      </w:r>
      <w:r>
        <w:rPr>
          <w:rFonts w:hint="eastAsia" w:ascii="仿宋" w:hAnsi="仿宋" w:eastAsia="仿宋" w:cs="仿宋"/>
          <w:bCs/>
          <w:sz w:val="24"/>
          <w:szCs w:val="24"/>
          <w:highlight w:val="none"/>
        </w:rPr>
        <w:t xml:space="preserve">北</w:t>
      </w:r>
      <w:r>
        <w:rPr>
          <w:rFonts w:hint="eastAsia" w:ascii="仿宋" w:hAnsi="仿宋" w:eastAsia="仿宋" w:cs="仿宋"/>
          <w:bCs/>
          <w:sz w:val="24"/>
          <w:szCs w:val="24"/>
        </w:rPr>
        <w:t xml:space="preserve">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21" w:name="_Toc28359002"/>
      <w:r/>
      <w:bookmarkStart w:id="22" w:name="_Toc28359079"/>
      <w:r/>
      <w:bookmarkStart w:id="23" w:name="_Toc35393790"/>
      <w:r/>
      <w:bookmarkStart w:id="24" w:name="_Toc35393621"/>
      <w:r/>
      <w:bookmarkStart w:id="25" w:name="_Toc38985263"/>
      <w:r/>
      <w:bookmarkStart w:id="26" w:name="_Hlk24379207"/>
      <w:r>
        <w:rPr>
          <w:rFonts w:hint="eastAsia" w:ascii="仿宋" w:hAnsi="仿宋" w:eastAsia="仿宋" w:cs="仿宋"/>
          <w:b/>
          <w:bCs/>
          <w:sz w:val="32"/>
          <w:szCs w:val="32"/>
        </w:rPr>
        <w:t xml:space="preserve">一、项目基本情况</w:t>
      </w:r>
      <w:bookmarkEnd w:id="21"/>
      <w:r/>
      <w:bookmarkEnd w:id="22"/>
      <w:r/>
      <w:bookmarkEnd w:id="23"/>
      <w:r/>
      <w:bookmarkEnd w:id="24"/>
      <w:r/>
      <w:bookmarkEnd w:id="25"/>
      <w:r/>
      <w:r/>
    </w:p>
    <w:p>
      <w:pPr>
        <w:ind w:firstLine="480"/>
        <w:rPr>
          <w:rFonts w:ascii="仿宋" w:hAnsi="仿宋" w:eastAsia="仿宋" w:cs="仿宋"/>
          <w:sz w:val="24"/>
          <w:szCs w:val="24"/>
          <w:highlight w:val="none"/>
        </w:rPr>
      </w:pPr>
      <w:r>
        <w:rPr>
          <w:rFonts w:hint="eastAsia" w:ascii="仿宋" w:hAnsi="仿宋" w:eastAsia="仿宋" w:cs="仿宋"/>
          <w:sz w:val="24"/>
          <w:szCs w:val="24"/>
          <w:highlight w:val="none"/>
        </w:rPr>
        <w:t xml:space="preserve">1.项目编号：JSZC-320623-JZCG-C2025-0072</w:t>
      </w:r>
      <w:r/>
    </w:p>
    <w:p>
      <w:pPr>
        <w:ind w:firstLine="480"/>
        <w:rPr>
          <w:rFonts w:ascii="仿宋" w:hAnsi="仿宋" w:eastAsia="仿宋" w:cs="仿宋"/>
          <w:sz w:val="24"/>
          <w:szCs w:val="24"/>
        </w:rPr>
      </w:pPr>
      <w:r>
        <w:rPr>
          <w:rFonts w:hint="eastAsia" w:ascii="仿宋" w:hAnsi="仿宋" w:eastAsia="仿宋" w:cs="仿宋"/>
          <w:sz w:val="24"/>
          <w:szCs w:val="24"/>
        </w:rPr>
        <w:t xml:space="preserve">2.项目名称：如东县“苏服办”APP旗舰店改造项目</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3.采购方式：竞争性磋商</w:t>
      </w:r>
      <w:r/>
    </w:p>
    <w:p>
      <w:pPr>
        <w:ind w:firstLine="480"/>
        <w:rPr>
          <w:rFonts w:ascii="仿宋" w:hAnsi="仿宋" w:eastAsia="仿宋" w:cs="仿宋"/>
          <w:color w:val="000000" w:themeColor="text1"/>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4.项目类型：服务</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5.所属行业：</w:t>
      </w:r>
      <w:r>
        <w:rPr>
          <w:rFonts w:hint="eastAsia" w:ascii="仿宋" w:hAnsi="仿宋" w:eastAsia="仿宋" w:cs="仿宋"/>
          <w:sz w:val="24"/>
          <w:szCs w:val="24"/>
        </w:rPr>
        <w:t xml:space="preserve">软件和信息技术服务</w:t>
      </w:r>
      <w:bookmarkEnd w:id="26"/>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6.预算金额：40万元</w:t>
      </w:r>
      <w:r/>
    </w:p>
    <w:p>
      <w:pPr>
        <w:ind w:firstLine="480"/>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14:textFill>
            <w14:solidFill>
              <w14:schemeClr w14:val="tx1"/>
            </w14:solidFill>
          </w14:textFill>
        </w:rPr>
        <w:t xml:space="preserve">最高限价（如有）：</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bookmarkStart w:id="229" w:name="_GoBack"/>
      <w:r/>
      <w:bookmarkEnd w:id="229"/>
      <w:r/>
      <w:r/>
    </w:p>
    <w:p>
      <w:pPr>
        <w:ind w:firstLine="480"/>
        <w:rPr>
          <w:rFonts w:ascii="仿宋" w:hAnsi="仿宋" w:eastAsia="仿宋" w:cs="仿宋"/>
          <w:sz w:val="24"/>
          <w:szCs w:val="24"/>
          <w:u w:val="single"/>
        </w:rPr>
      </w:pPr>
      <w:r>
        <w:rPr>
          <w:rFonts w:hint="eastAsia" w:ascii="仿宋" w:hAnsi="仿宋" w:eastAsia="仿宋" w:cs="仿宋"/>
          <w:sz w:val="24"/>
          <w:szCs w:val="24"/>
        </w:rPr>
        <w:t xml:space="preserve">7.采购需求（简介）：</w:t>
      </w:r>
      <w:r>
        <w:rPr>
          <w:rFonts w:hint="eastAsia" w:ascii="仿宋" w:hAnsi="仿宋" w:eastAsia="仿宋" w:cs="仿宋"/>
          <w:sz w:val="24"/>
          <w:szCs w:val="24"/>
        </w:rPr>
        <w:t xml:space="preserve">本项目旨在通过改版“苏服办”APP如东旗舰店、建设支付宝小程序、完成鸿蒙系统适配、移植现有功能模块、实现多端用户体系对接等方式，构建统一、便捷、智能的政务服务平台，提升服务覆盖面和用户体验。详细内容见本磋商文件第四章。</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8.合同履行期限：</w:t>
      </w:r>
      <w:r>
        <w:rPr>
          <w:rFonts w:hint="eastAsia" w:ascii="仿宋" w:hAnsi="仿宋" w:eastAsia="仿宋" w:cs="仿宋"/>
          <w:sz w:val="24"/>
          <w:szCs w:val="24"/>
        </w:rPr>
        <w:t xml:space="preserve">从合同签订之日起，2个月内完成系统开发、集成对接、调试并上线运行。</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w:t>
      </w:r>
      <w:bookmarkStart w:id="27" w:name="_Toc35393622"/>
      <w:r/>
      <w:bookmarkStart w:id="28" w:name="_Toc38985264"/>
      <w:r/>
      <w:bookmarkStart w:id="29" w:name="_Toc35393791"/>
      <w:r/>
      <w:bookmarkStart w:id="30" w:name="_Toc28359080"/>
      <w:r/>
      <w:bookmarkStart w:id="31" w:name="_Toc28359003"/>
      <w:r>
        <w:rPr>
          <w:rFonts w:hint="eastAsia" w:ascii="仿宋" w:hAnsi="仿宋" w:eastAsia="仿宋" w:cs="仿宋"/>
          <w:color w:val="000000" w:themeColor="text1"/>
          <w:sz w:val="24"/>
          <w:szCs w:val="24"/>
          <w14:textFill>
            <w14:solidFill>
              <w14:schemeClr w14:val="tx1"/>
            </w14:solidFill>
          </w14:textFill>
        </w:rPr>
        <w:t xml:space="preserve">本项目是否接受联合体投标：否。</w:t>
      </w:r>
      <w:r/>
    </w:p>
    <w:p>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 xml:space="preserve">10.本项目是否接受分包：否。</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ascii="仿宋" w:hAnsi="仿宋" w:eastAsia="仿宋" w:cs="仿宋"/>
          <w:sz w:val="24"/>
          <w:szCs w:val="24"/>
        </w:rPr>
      </w:pPr>
      <w:r/>
      <w:bookmarkStart w:id="32" w:name="_Toc28359004"/>
      <w:r/>
      <w:bookmarkStart w:id="33" w:name="_Toc35393623"/>
      <w:r/>
      <w:bookmarkStart w:id="34" w:name="_Toc38985265"/>
      <w:r/>
      <w:bookmarkStart w:id="35" w:name="_Toc28359081"/>
      <w:r/>
      <w:bookmarkStart w:id="36" w:name="_Toc35393792"/>
      <w:r>
        <w:rPr>
          <w:rFonts w:hint="eastAsia" w:ascii="仿宋" w:hAnsi="仿宋" w:eastAsia="仿宋" w:cs="仿宋"/>
          <w:sz w:val="24"/>
          <w:szCs w:val="24"/>
        </w:rPr>
        <w:t xml:space="preserve">（一）通用资格要求</w:t>
      </w:r>
      <w:r/>
    </w:p>
    <w:p>
      <w:pPr>
        <w:ind w:firstLine="480"/>
        <w:rPr>
          <w:rFonts w:ascii="仿宋" w:hAnsi="仿宋" w:eastAsia="仿宋" w:cs="仿宋"/>
          <w:b/>
          <w:bCs/>
          <w:color w:val="ff0000"/>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（按附件2格式进行声明，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sz w:val="24"/>
          <w:szCs w:val="24"/>
        </w:rPr>
        <w:t xml:space="preserve">；</w:t>
      </w:r>
      <w:r/>
    </w:p>
    <w:p>
      <w:pPr>
        <w:ind w:firstLine="480"/>
        <w:rPr>
          <w:rFonts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p>
    <w:p>
      <w:pPr>
        <w:ind w:firstLine="480"/>
        <w:spacing w:line="500" w:lineRule="exact"/>
        <w:rPr>
          <w:rFonts w:ascii="仿宋" w:hAnsi="仿宋" w:eastAsia="仿宋" w:cs="仿宋"/>
          <w:sz w:val="24"/>
          <w:szCs w:val="24"/>
          <w:highlight w:val="cyan"/>
        </w:rPr>
      </w:pPr>
      <w:r>
        <w:rPr>
          <w:rFonts w:hint="eastAsia" w:ascii="仿宋" w:hAnsi="仿宋" w:eastAsia="仿宋" w:cs="仿宋"/>
          <w:sz w:val="24"/>
          <w:szCs w:val="24"/>
        </w:rPr>
        <w:t xml:space="preserve">（二）本项目的特定资格要求：无。</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rPr>
        <w:t xml:space="preserve">磋商文件</w:t>
      </w:r>
      <w:r/>
    </w:p>
    <w:p>
      <w:pPr>
        <w:ind w:firstLine="540"/>
        <w:spacing w:line="360" w:lineRule="auto"/>
        <w:rPr>
          <w:rFonts w:ascii="仿宋" w:hAnsi="仿宋" w:eastAsia="仿宋" w:cs="仿宋"/>
          <w:sz w:val="24"/>
          <w:szCs w:val="24"/>
        </w:rPr>
      </w:pPr>
      <w:r/>
      <w:bookmarkStart w:id="37" w:name="_Toc38985266"/>
      <w:r/>
      <w:bookmarkStart w:id="38" w:name="_Toc35393793"/>
      <w:r/>
      <w:bookmarkStart w:id="39" w:name="_Toc35393624"/>
      <w:r/>
      <w:bookmarkStart w:id="40" w:name="_Toc28359082"/>
      <w:r/>
      <w:bookmarkStart w:id="41" w:name="_Toc28359005"/>
      <w:r>
        <w:rPr>
          <w:rFonts w:hint="eastAsia" w:ascii="仿宋" w:hAnsi="仿宋" w:eastAsia="仿宋" w:cs="仿宋"/>
          <w:sz w:val="24"/>
          <w:szCs w:val="24"/>
        </w:rPr>
        <w:t xml:space="preserve">1.时间：自本公告发布之日起5个工作日。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w:t>
      </w:r>
      <w:bookmarkEnd w:id="37"/>
      <w:r/>
      <w:bookmarkEnd w:id="38"/>
      <w:r/>
      <w:bookmarkEnd w:id="39"/>
      <w:r/>
      <w:bookmarkEnd w:id="40"/>
      <w:r/>
      <w:bookmarkEnd w:id="41"/>
      <w:r>
        <w:rPr>
          <w:rFonts w:hint="eastAsia" w:ascii="仿宋" w:hAnsi="仿宋" w:eastAsia="仿宋" w:cs="仿宋"/>
          <w:b/>
          <w:bCs/>
          <w:sz w:val="32"/>
          <w:szCs w:val="32"/>
        </w:rPr>
        <w:t xml:space="preserve">响应文件提交</w:t>
      </w:r>
      <w:r/>
    </w:p>
    <w:p>
      <w:pPr>
        <w:ind w:firstLine="480"/>
        <w:spacing w:line="500" w:lineRule="exact"/>
        <w:rPr>
          <w:rFonts w:ascii="仿宋" w:hAnsi="仿宋" w:eastAsia="仿宋" w:cs="仿宋"/>
          <w:sz w:val="24"/>
          <w:szCs w:val="24"/>
          <w:highlight w:val="cyan"/>
        </w:rPr>
      </w:pPr>
      <w:r>
        <w:rPr>
          <w:rFonts w:hint="eastAsia" w:ascii="仿宋" w:hAnsi="仿宋" w:eastAsia="仿宋" w:cs="仿宋"/>
          <w:bCs/>
          <w:color w:val="000000" w:themeColor="text1"/>
          <w:sz w:val="24"/>
          <w:szCs w:val="24"/>
          <w:highlight w:val="none"/>
          <w14:textFill>
            <w14:solidFill>
              <w14:schemeClr w14:val="tx1"/>
            </w14:solidFill>
          </w14:textFill>
        </w:rPr>
        <w:t xml:space="preserve">1.截止时间：</w:t>
      </w:r>
      <w:r>
        <w:rPr>
          <w:rFonts w:hint="eastAsia" w:ascii="仿宋" w:hAnsi="仿宋" w:eastAsia="仿宋" w:cs="仿宋"/>
          <w:sz w:val="24"/>
          <w:szCs w:val="24"/>
          <w:highlight w:val="none"/>
          <w:lang w:val="en-US" w:eastAsia="zh-CN"/>
        </w:rPr>
        <w:t xml:space="preserve">2025</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日</w:t>
      </w:r>
      <w:r>
        <w:rPr>
          <w:rFonts w:hint="eastAsia" w:ascii="仿宋" w:hAnsi="仿宋" w:eastAsia="仿宋" w:cs="仿宋"/>
          <w:bCs/>
          <w:sz w:val="24"/>
          <w:szCs w:val="24"/>
          <w:highlight w:val="none"/>
          <w:u w:val="single"/>
        </w:rPr>
        <w:t xml:space="preserve">8</w:t>
      </w:r>
      <w:r>
        <w:rPr>
          <w:rFonts w:hint="eastAsia" w:ascii="仿宋" w:hAnsi="仿宋" w:eastAsia="仿宋" w:cs="仿宋"/>
          <w:bCs/>
          <w:sz w:val="24"/>
          <w:szCs w:val="24"/>
          <w:highlight w:val="none"/>
        </w:rPr>
        <w:t xml:space="preserve">点</w:t>
      </w:r>
      <w:r>
        <w:rPr>
          <w:rFonts w:hint="eastAsia" w:ascii="仿宋" w:hAnsi="仿宋" w:eastAsia="仿宋" w:cs="仿宋"/>
          <w:bCs/>
          <w:sz w:val="24"/>
          <w:szCs w:val="24"/>
          <w:highlight w:val="none"/>
          <w:u w:val="single"/>
        </w:rPr>
        <w:t xml:space="preserve">30</w:t>
      </w:r>
      <w:r>
        <w:rPr>
          <w:rFonts w:hint="eastAsia" w:ascii="仿宋" w:hAnsi="仿宋" w:eastAsia="仿宋" w:cs="仿宋"/>
          <w:bCs/>
          <w:sz w:val="24"/>
          <w:szCs w:val="24"/>
          <w:highlight w:val="none"/>
        </w:rPr>
        <w:t xml:space="preserve">分（北京时间）。</w:t>
      </w:r>
      <w:r>
        <w:rPr>
          <w:rFonts w:hint="eastAsia" w:ascii="仿宋" w:hAnsi="仿宋" w:eastAsia="仿宋" w:cs="仿宋"/>
          <w:bCs/>
          <w:color w:val="000000" w:themeColor="text1"/>
          <w:sz w:val="24"/>
          <w:szCs w:val="24"/>
          <w:highlight w:val="none"/>
          <w14:textFill>
            <w14:solidFill>
              <w14:schemeClr w14:val="tx1"/>
            </w14:solidFill>
          </w14:textFill>
        </w:rPr>
        <w:t xml:space="preserve">逾时，</w:t>
      </w:r>
      <w:r>
        <w:rPr>
          <w:rFonts w:hint="eastAsia" w:ascii="仿宋" w:hAnsi="仿宋" w:eastAsia="仿宋" w:cs="仿宋"/>
          <w:bCs/>
          <w:color w:val="000000" w:themeColor="text1"/>
          <w:sz w:val="24"/>
          <w:szCs w:val="24"/>
          <w14:textFill>
            <w14:solidFill>
              <w14:schemeClr w14:val="tx1"/>
            </w14:solidFill>
          </w14:textFill>
        </w:rPr>
        <w:t xml:space="preserve">系统将拒绝接受上传响应文件电子文档。</w:t>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2.地点：“苏采云”政府采购一体化平台。</w:t>
      </w:r>
      <w:r/>
    </w:p>
    <w:p>
      <w:pPr>
        <w:ind w:firstLine="498"/>
        <w:keepLines/>
        <w:keepNext/>
        <w:spacing w:before="145" w:after="145" w:line="360" w:lineRule="auto"/>
        <w:rPr>
          <w:rFonts w:ascii="仿宋" w:hAnsi="仿宋" w:eastAsia="仿宋" w:cs="仿宋"/>
          <w:b/>
          <w:bCs/>
          <w:sz w:val="32"/>
          <w:szCs w:val="32"/>
        </w:rPr>
        <w:outlineLvl w:val="2"/>
      </w:pPr>
      <w:r/>
      <w:bookmarkStart w:id="42" w:name="_Toc28359007"/>
      <w:r/>
      <w:bookmarkStart w:id="43" w:name="_Toc35393625"/>
      <w:r/>
      <w:bookmarkStart w:id="44" w:name="_Toc38985267"/>
      <w:r/>
      <w:bookmarkStart w:id="45" w:name="_Toc35393794"/>
      <w:r/>
      <w:bookmarkStart w:id="46" w:name="_Toc28359084"/>
      <w:r>
        <w:rPr>
          <w:rFonts w:hint="eastAsia" w:ascii="仿宋" w:hAnsi="仿宋" w:eastAsia="仿宋" w:cs="仿宋"/>
          <w:b/>
          <w:bCs/>
          <w:sz w:val="32"/>
          <w:szCs w:val="32"/>
        </w:rPr>
        <w:t xml:space="preserve">五、公告期限</w:t>
      </w:r>
      <w:bookmarkEnd w:id="42"/>
      <w:r/>
      <w:bookmarkEnd w:id="43"/>
      <w:r/>
      <w:bookmarkEnd w:id="44"/>
      <w:r/>
      <w:bookmarkEnd w:id="45"/>
      <w:r/>
      <w:bookmarkEnd w:id="46"/>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bookmarkStart w:id="47" w:name="_Toc35393795"/>
      <w:r/>
      <w:bookmarkStart w:id="48" w:name="_Toc38985268"/>
      <w:r/>
      <w:bookmarkStart w:id="49" w:name="_Toc35393626"/>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7"/>
      <w:r/>
      <w:bookmarkEnd w:id="48"/>
      <w:r/>
      <w:bookmarkEnd w:id="49"/>
      <w:r/>
      <w:r/>
    </w:p>
    <w:p>
      <w:pPr>
        <w:ind w:firstLine="540"/>
        <w:spacing w:line="360" w:lineRule="auto"/>
        <w:rPr>
          <w:rFonts w:ascii="仿宋" w:hAnsi="仿宋" w:eastAsia="仿宋" w:cs="仿宋"/>
          <w:sz w:val="24"/>
          <w:szCs w:val="24"/>
        </w:rPr>
      </w:pPr>
      <w:r/>
      <w:bookmarkStart w:id="50" w:name="_Toc35393796"/>
      <w:r/>
      <w:bookmarkStart w:id="51" w:name="_Toc28359085"/>
      <w:r/>
      <w:bookmarkStart w:id="52" w:name="_Toc28359008"/>
      <w:r/>
      <w:bookmarkStart w:id="53" w:name="_Toc38985269"/>
      <w:r/>
      <w:bookmarkStart w:id="54" w:name="_Toc35393627"/>
      <w:r>
        <w:rPr>
          <w:rFonts w:hint="eastAsia" w:ascii="仿宋" w:hAnsi="仿宋" w:eastAsia="仿宋" w:cs="仿宋"/>
          <w:sz w:val="24"/>
          <w:szCs w:val="24"/>
        </w:rPr>
        <w:t xml:space="preserve">1.项目磋商活动模式：不见面远程磋商模式。</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bookmarkEnd w:id="51"/>
      <w:bookmarkEnd w:id="52"/>
      <w:bookmarkEnd w:id="53"/>
      <w:bookmarkEnd w:id="54"/>
      <w:r/>
    </w:p>
    <w:p>
      <w:pPr>
        <w:ind w:firstLine="498"/>
        <w:keepLines/>
        <w:keepNext/>
        <w:spacing w:before="145" w:after="145" w:line="360" w:lineRule="auto"/>
        <w:rPr>
          <w:rFonts w:ascii="仿宋" w:hAnsi="仿宋" w:eastAsia="仿宋" w:cs="仿宋"/>
          <w:b/>
          <w:bCs/>
          <w:sz w:val="32"/>
          <w:szCs w:val="32"/>
        </w:rPr>
        <w:outlineLvl w:val="2"/>
      </w:pPr>
      <w:r/>
      <w:bookmarkStart w:id="55" w:name="_Toc28359087"/>
      <w:r/>
      <w:bookmarkStart w:id="56" w:name="_Toc28359010"/>
      <w:r>
        <w:rPr>
          <w:rFonts w:hint="eastAsia" w:ascii="仿宋" w:hAnsi="仿宋" w:eastAsia="仿宋" w:cs="仿宋"/>
          <w:b/>
          <w:bCs/>
          <w:sz w:val="32"/>
          <w:szCs w:val="32"/>
        </w:rPr>
        <w:t xml:space="preserve">七、凡对本次采购提出询问，请按以下方式联系</w:t>
      </w:r>
      <w:r/>
    </w:p>
    <w:p>
      <w:pPr>
        <w:jc w:val="left"/>
        <w:widowControl/>
        <w:rPr>
          <w:rFonts w:ascii="仿宋" w:hAnsi="仿宋" w:eastAsia="仿宋" w:cs="仿宋"/>
          <w:sz w:val="24"/>
          <w:szCs w:val="24"/>
          <w:highlight w:val="none"/>
        </w:rPr>
      </w:pPr>
      <w:r>
        <w:rPr>
          <w:rFonts w:hint="eastAsia" w:ascii="仿宋" w:hAnsi="仿宋" w:eastAsia="仿宋" w:cs="仿宋"/>
          <w:sz w:val="28"/>
          <w:szCs w:val="28"/>
          <w:highlight w:val="none"/>
        </w:rPr>
        <w:t xml:space="preserve">　　　</w:t>
      </w:r>
      <w:r>
        <w:rPr>
          <w:rFonts w:hint="eastAsia" w:ascii="仿宋" w:hAnsi="仿宋" w:eastAsia="仿宋" w:cs="仿宋"/>
          <w:sz w:val="24"/>
          <w:szCs w:val="24"/>
          <w:highlight w:val="none"/>
        </w:rPr>
        <w:t xml:space="preserve">1.采购人信息</w:t>
      </w:r>
      <w:r/>
    </w:p>
    <w:p>
      <w:pPr>
        <w:ind w:left="1079" w:hanging="3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如东县数据局　　　　　　　　</w:t>
      </w:r>
      <w:r/>
    </w:p>
    <w:p>
      <w:pPr>
        <w:ind w:left="1079" w:hanging="30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如东县城中街道泰山路16号　　</w:t>
      </w:r>
      <w:r/>
    </w:p>
    <w:p>
      <w:pPr>
        <w:ind w:left="1079" w:hanging="30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祝先生          </w:t>
      </w:r>
      <w:r/>
    </w:p>
    <w:p>
      <w:pPr>
        <w:ind w:left="1079" w:hanging="30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bookmarkStart w:id="57" w:name="_Toc28359009"/>
      <w:r/>
      <w:bookmarkStart w:id="58" w:name="_Toc28359086"/>
      <w:r>
        <w:rPr>
          <w:rFonts w:hint="eastAsia" w:ascii="仿宋" w:hAnsi="仿宋" w:eastAsia="仿宋" w:cs="仿宋"/>
          <w:sz w:val="24"/>
          <w:szCs w:val="24"/>
          <w:highlight w:val="none"/>
          <w:u w:val="single"/>
        </w:rPr>
        <w:t xml:space="preserve">　　　0513-84199408　　　　　</w:t>
      </w:r>
      <w:r/>
    </w:p>
    <w:p>
      <w:pPr>
        <w:ind w:left="1079" w:hanging="3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w:t>
      </w:r>
      <w:bookmarkEnd w:id="57"/>
      <w:r/>
      <w:bookmarkEnd w:id="58"/>
      <w:r>
        <w:rPr>
          <w:rFonts w:hint="eastAsia" w:ascii="仿宋" w:hAnsi="仿宋" w:eastAsia="仿宋" w:cs="仿宋"/>
          <w:sz w:val="24"/>
          <w:szCs w:val="24"/>
          <w:highlight w:val="none"/>
        </w:rPr>
        <w:t xml:space="preserve">如东县公共资源交易中心</w:t>
      </w:r>
      <w:r/>
    </w:p>
    <w:p>
      <w:pPr>
        <w:ind w:firstLine="7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u w:val="single"/>
        </w:rPr>
        <w:t xml:space="preserve">如东县城中街道泰山路东侧建设大厦一楼</w:t>
      </w:r>
      <w:r/>
    </w:p>
    <w:p>
      <w:pPr>
        <w:ind w:firstLine="720"/>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见项目联系方式</w:t>
      </w:r>
      <w:r/>
    </w:p>
    <w:p>
      <w:pPr>
        <w:ind w:firstLine="720"/>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3.项目联系方式</w:t>
      </w:r>
      <w:r/>
    </w:p>
    <w:p>
      <w:pPr>
        <w:ind w:firstLine="720"/>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梁女士  </w:t>
      </w:r>
      <w:r/>
    </w:p>
    <w:p>
      <w:pPr>
        <w:ind w:firstLine="638"/>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sz w:val="24"/>
          <w:szCs w:val="24"/>
          <w:highlight w:val="none"/>
          <w:u w:val="single"/>
        </w:rPr>
        <w:t xml:space="preserve">0513-68508598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bookmarkEnd w:id="55"/>
      <w:bookmarkEnd w:id="56"/>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 xml:space="preserve">〔2023〕</w:t>
      </w:r>
      <w:r>
        <w:rPr>
          <w:rFonts w:hint="eastAsia" w:ascii="仿宋" w:hAnsi="仿宋" w:eastAsia="仿宋" w:cs="仿宋"/>
          <w:bCs/>
          <w:sz w:val="24"/>
          <w:szCs w:val="24"/>
        </w:rPr>
        <w:t xml:space="preserve">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 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有关本次磋商的事项若存在变动或修改，敬请及时关注如东县公共资源交易中心在“江苏政府采购网”发布的更正公告。</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ind w:firstLine="562"/>
        <w:spacing w:line="480" w:lineRule="exact"/>
        <w:rPr>
          <w:rFonts w:ascii="仿宋" w:hAnsi="仿宋" w:eastAsia="仿宋" w:cs="仿宋"/>
          <w:sz w:val="24"/>
          <w:szCs w:val="24"/>
          <w:highlight w:val="yellow"/>
        </w:rPr>
      </w:pPr>
      <w:r/>
      <w:bookmarkStart w:id="59" w:name="_Toc120614211"/>
      <w:r>
        <w:rPr>
          <w:rFonts w:hint="eastAsia" w:ascii="仿宋" w:hAnsi="仿宋" w:eastAsia="仿宋" w:cs="仿宋"/>
          <w:b/>
          <w:sz w:val="28"/>
          <w:szCs w:val="28"/>
        </w:rPr>
        <w:br w:type="page" w:clear="all"/>
      </w:r>
      <w:bookmarkEnd w:id="13"/>
      <w:r/>
      <w:bookmarkEnd w:id="14"/>
      <w:r/>
      <w:bookmarkEnd w:id="15"/>
      <w:r/>
      <w:bookmarkEnd w:id="16"/>
      <w:r/>
      <w:bookmarkEnd w:id="17"/>
      <w:r/>
      <w:bookmarkEnd w:id="59"/>
      <w:r/>
      <w:bookmarkStart w:id="60" w:name="_Toc20823314"/>
      <w:r/>
      <w:bookmarkStart w:id="61" w:name="_Toc120614221"/>
      <w:r/>
      <w:bookmarkStart w:id="62" w:name="_Toc513029242"/>
      <w:r/>
      <w:bookmarkStart w:id="63" w:name="_Toc16938558"/>
      <w:r/>
      <w:bookmarkStart w:id="64" w:name="_Toc479757207"/>
      <w:r/>
      <w:r/>
    </w:p>
    <w:p>
      <w:pPr>
        <w:ind w:firstLine="685"/>
        <w:jc w:val="center"/>
        <w:keepLines/>
        <w:keepNext/>
        <w:spacing w:before="145" w:after="145" w:line="360" w:lineRule="auto"/>
        <w:rPr>
          <w:rFonts w:ascii="仿宋" w:hAnsi="仿宋" w:eastAsia="仿宋" w:cs="仿宋"/>
          <w:b/>
          <w:bCs/>
          <w:sz w:val="32"/>
          <w:szCs w:val="32"/>
        </w:rPr>
        <w:outlineLvl w:val="0"/>
      </w:pPr>
      <w:r/>
      <w:bookmarkStart w:id="65" w:name="_Toc16207"/>
      <w:r/>
      <w:bookmarkStart w:id="66" w:name="_Toc5468"/>
      <w:r/>
      <w:bookmarkStart w:id="67" w:name="_Toc5341"/>
      <w:r>
        <w:rPr>
          <w:rFonts w:hint="eastAsia" w:ascii="仿宋" w:hAnsi="仿宋" w:eastAsia="仿宋" w:cs="仿宋"/>
          <w:b/>
          <w:bCs/>
          <w:sz w:val="44"/>
          <w:szCs w:val="44"/>
        </w:rPr>
        <w:t xml:space="preserve">第二章  供应商须知</w:t>
      </w:r>
      <w:bookmarkEnd w:id="65"/>
      <w:r/>
      <w:bookmarkEnd w:id="66"/>
      <w:r/>
      <w:bookmarkEnd w:id="67"/>
      <w:r/>
      <w:r/>
    </w:p>
    <w:p>
      <w:pPr>
        <w:ind w:firstLine="498"/>
        <w:keepLines/>
        <w:keepNext/>
        <w:spacing w:before="145" w:after="145" w:line="360" w:lineRule="auto"/>
        <w:rPr>
          <w:rFonts w:ascii="仿宋" w:hAnsi="仿宋" w:eastAsia="仿宋" w:cs="仿宋"/>
          <w:b/>
          <w:bCs/>
          <w:sz w:val="32"/>
          <w:szCs w:val="32"/>
        </w:rPr>
        <w:outlineLvl w:val="2"/>
      </w:pPr>
      <w:r/>
      <w:bookmarkStart w:id="68" w:name="_Toc120614214"/>
      <w:r/>
      <w:bookmarkStart w:id="69" w:name="_Toc20823275"/>
      <w:r/>
      <w:bookmarkStart w:id="70" w:name="_Toc16938519"/>
      <w:r/>
      <w:bookmarkStart w:id="71" w:name="_Toc513029203"/>
      <w:r>
        <w:rPr>
          <w:rFonts w:hint="eastAsia" w:ascii="仿宋" w:hAnsi="仿宋" w:eastAsia="仿宋" w:cs="仿宋"/>
          <w:b/>
          <w:bCs/>
          <w:sz w:val="32"/>
          <w:szCs w:val="32"/>
        </w:rPr>
        <w:t xml:space="preserve">一、总则</w:t>
      </w:r>
      <w:bookmarkEnd w:id="68"/>
      <w:r/>
      <w:bookmarkEnd w:id="69"/>
      <w:r/>
      <w:bookmarkEnd w:id="70"/>
      <w:r/>
      <w:bookmarkEnd w:id="71"/>
      <w:r/>
      <w:r/>
    </w:p>
    <w:p>
      <w:pPr>
        <w:ind w:left="480"/>
        <w:spacing w:line="500" w:lineRule="exact"/>
        <w:rPr>
          <w:rFonts w:ascii="仿宋" w:hAnsi="仿宋" w:eastAsia="仿宋" w:cs="仿宋"/>
          <w:b/>
          <w:bCs/>
          <w:sz w:val="28"/>
          <w:szCs w:val="28"/>
        </w:rPr>
      </w:pPr>
      <w:r/>
      <w:bookmarkStart w:id="72" w:name="_Hlt16619475"/>
      <w:r/>
      <w:bookmarkEnd w:id="72"/>
      <w:r/>
      <w:bookmarkStart w:id="73" w:name="_Toc458694821"/>
      <w:r/>
      <w:bookmarkStart w:id="74" w:name="_Toc513029204"/>
      <w:r/>
      <w:bookmarkStart w:id="75" w:name="_Toc20823276"/>
      <w:r/>
      <w:bookmarkStart w:id="76" w:name="_Toc16938520"/>
      <w:r>
        <w:rPr>
          <w:rFonts w:hint="eastAsia" w:ascii="仿宋" w:hAnsi="仿宋" w:eastAsia="仿宋" w:cs="仿宋"/>
          <w:b/>
          <w:bCs/>
          <w:sz w:val="28"/>
          <w:szCs w:val="28"/>
        </w:rPr>
        <w:t xml:space="preserve">1</w:t>
      </w:r>
      <w:bookmarkEnd w:id="73"/>
      <w:r>
        <w:rPr>
          <w:rFonts w:hint="eastAsia" w:ascii="仿宋" w:hAnsi="仿宋" w:eastAsia="仿宋" w:cs="仿宋"/>
          <w:b/>
          <w:bCs/>
          <w:sz w:val="28"/>
          <w:szCs w:val="28"/>
        </w:rPr>
        <w:t xml:space="preserve">、采购方式</w:t>
      </w:r>
      <w:bookmarkEnd w:id="74"/>
      <w:r/>
      <w:bookmarkEnd w:id="75"/>
      <w:r/>
      <w:bookmarkEnd w:id="76"/>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sz w:val="28"/>
          <w:szCs w:val="28"/>
        </w:rPr>
        <w:outlineLvl w:val="3"/>
      </w:pPr>
      <w:r/>
      <w:bookmarkStart w:id="77" w:name="_Toc513029205"/>
      <w:r/>
      <w:bookmarkStart w:id="78" w:name="_Toc20823277"/>
      <w:r/>
      <w:bookmarkStart w:id="79" w:name="_Toc16938521"/>
      <w:r>
        <w:rPr>
          <w:rFonts w:hint="eastAsia" w:ascii="仿宋" w:hAnsi="仿宋" w:eastAsia="仿宋" w:cs="仿宋"/>
          <w:b/>
          <w:bCs/>
          <w:sz w:val="28"/>
          <w:szCs w:val="28"/>
        </w:rPr>
        <w:t xml:space="preserve">2、合格的</w:t>
      </w:r>
      <w:bookmarkEnd w:id="77"/>
      <w:r/>
      <w:bookmarkEnd w:id="78"/>
      <w:r/>
      <w:bookmarkEnd w:id="79"/>
      <w:r>
        <w:rPr>
          <w:rFonts w:hint="eastAsia" w:ascii="仿宋" w:hAnsi="仿宋" w:eastAsia="仿宋" w:cs="仿宋"/>
          <w:b/>
          <w:bCs/>
          <w:sz w:val="28"/>
          <w:szCs w:val="28"/>
        </w:rPr>
        <w:t xml:space="preserve">供应商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ascii="仿宋" w:hAnsi="仿宋" w:eastAsia="仿宋" w:cs="仿宋"/>
          <w:b/>
          <w:bCs/>
          <w:sz w:val="28"/>
          <w:szCs w:val="28"/>
        </w:rPr>
        <w:outlineLvl w:val="3"/>
      </w:pPr>
      <w:r/>
      <w:bookmarkStart w:id="80" w:name="_Toc16938522"/>
      <w:r/>
      <w:bookmarkStart w:id="81" w:name="_Toc513029206"/>
      <w:r/>
      <w:bookmarkStart w:id="82" w:name="_Toc20823278"/>
      <w:r>
        <w:rPr>
          <w:rFonts w:hint="eastAsia" w:ascii="仿宋" w:hAnsi="仿宋" w:eastAsia="仿宋" w:cs="仿宋"/>
          <w:b/>
          <w:bCs/>
          <w:sz w:val="28"/>
          <w:szCs w:val="28"/>
        </w:rPr>
        <w:t xml:space="preserve">3、适用法律</w:t>
      </w:r>
      <w:bookmarkEnd w:id="80"/>
      <w:r/>
      <w:bookmarkEnd w:id="81"/>
      <w:r/>
      <w:bookmarkEnd w:id="82"/>
      <w:r/>
      <w:r/>
    </w:p>
    <w:p>
      <w:pPr>
        <w:ind w:firstLine="420"/>
        <w:spacing w:line="400" w:lineRule="exact"/>
        <w:rPr>
          <w:rFonts w:ascii="仿宋" w:hAnsi="仿宋" w:eastAsia="仿宋" w:cs="仿宋"/>
          <w:sz w:val="24"/>
          <w:szCs w:val="21"/>
        </w:rPr>
      </w:pPr>
      <w:r>
        <w:rPr>
          <w:rFonts w:hint="eastAsia" w:ascii="仿宋" w:hAnsi="仿宋" w:eastAsia="仿宋" w:cs="仿宋"/>
          <w:sz w:val="24"/>
          <w:szCs w:val="21"/>
        </w:rPr>
        <w:t xml:space="preserve">3.1 本次磋商及由此产生的合同受中华人民共和国有关的法律法规制约和保护。</w:t>
      </w:r>
      <w:r/>
    </w:p>
    <w:p>
      <w:pPr>
        <w:ind w:firstLine="422"/>
        <w:keepLines/>
        <w:keepNext/>
        <w:rPr>
          <w:rFonts w:ascii="仿宋" w:hAnsi="仿宋" w:eastAsia="仿宋" w:cs="仿宋"/>
          <w:b/>
          <w:bCs/>
          <w:sz w:val="28"/>
          <w:szCs w:val="28"/>
        </w:rPr>
        <w:outlineLvl w:val="3"/>
      </w:pPr>
      <w:r/>
      <w:bookmarkStart w:id="83" w:name="_Toc16938523"/>
      <w:r/>
      <w:bookmarkStart w:id="84" w:name="_Toc513029207"/>
      <w:r/>
      <w:bookmarkStart w:id="85" w:name="_Toc462564067"/>
      <w:r/>
      <w:bookmarkStart w:id="86" w:name="_Toc20823279"/>
      <w:r>
        <w:rPr>
          <w:rFonts w:hint="eastAsia" w:ascii="仿宋" w:hAnsi="仿宋" w:eastAsia="仿宋" w:cs="仿宋"/>
          <w:b/>
          <w:bCs/>
          <w:sz w:val="28"/>
          <w:szCs w:val="28"/>
        </w:rPr>
        <w:t xml:space="preserve">4、磋商费用</w:t>
      </w:r>
      <w:bookmarkEnd w:id="83"/>
      <w:r/>
      <w:bookmarkEnd w:id="84"/>
      <w:r/>
      <w:bookmarkEnd w:id="85"/>
      <w:r/>
      <w:bookmarkEnd w:id="86"/>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供应商应自行承担所有与参加本次磋商有关的费用，无论磋商过程中的做法和结果如何，如东县公共资源交易中心（以下简称交易中心）在任何情况下均无义务和责任承担这些费用。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4.2本次磋商交易中心和采购人不收取标书工本费与成交服务费。</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ascii="仿宋" w:hAnsi="仿宋" w:eastAsia="仿宋" w:cs="仿宋"/>
          <w:b/>
          <w:bCs/>
          <w:sz w:val="32"/>
          <w:szCs w:val="32"/>
        </w:rPr>
        <w:outlineLvl w:val="2"/>
      </w:pPr>
      <w:r/>
      <w:bookmarkStart w:id="87" w:name="_Toc20823281"/>
      <w:r/>
      <w:bookmarkStart w:id="88" w:name="_Toc513029209"/>
      <w:r/>
      <w:bookmarkStart w:id="89" w:name="_Toc120614215"/>
      <w:r/>
      <w:bookmarkStart w:id="90" w:name="_Toc16938525"/>
      <w:r>
        <w:rPr>
          <w:rFonts w:hint="eastAsia" w:ascii="仿宋" w:hAnsi="仿宋" w:eastAsia="仿宋" w:cs="仿宋"/>
          <w:b/>
          <w:bCs/>
          <w:sz w:val="32"/>
          <w:szCs w:val="32"/>
        </w:rPr>
        <w:t xml:space="preserve">二、</w:t>
      </w:r>
      <w:bookmarkEnd w:id="87"/>
      <w:r/>
      <w:bookmarkEnd w:id="88"/>
      <w:r/>
      <w:bookmarkEnd w:id="89"/>
      <w:r/>
      <w:bookmarkEnd w:id="90"/>
      <w:r>
        <w:rPr>
          <w:rFonts w:hint="eastAsia" w:ascii="仿宋" w:hAnsi="仿宋" w:eastAsia="仿宋" w:cs="仿宋"/>
          <w:b/>
          <w:bCs/>
          <w:sz w:val="32"/>
          <w:szCs w:val="32"/>
        </w:rPr>
        <w:t xml:space="preserve">磋商文件</w:t>
      </w:r>
      <w:r/>
    </w:p>
    <w:p>
      <w:pPr>
        <w:ind w:firstLine="422"/>
        <w:keepLines/>
        <w:keepNext/>
        <w:rPr>
          <w:rFonts w:ascii="仿宋" w:hAnsi="仿宋" w:eastAsia="仿宋" w:cs="仿宋"/>
          <w:b/>
          <w:bCs/>
          <w:sz w:val="28"/>
          <w:szCs w:val="28"/>
        </w:rPr>
        <w:outlineLvl w:val="3"/>
      </w:pPr>
      <w:r/>
      <w:bookmarkStart w:id="91" w:name="_Toc20823282"/>
      <w:r/>
      <w:bookmarkStart w:id="92" w:name="_Toc16938526"/>
      <w:r/>
      <w:bookmarkStart w:id="93" w:name="_Toc513029210"/>
      <w:r>
        <w:rPr>
          <w:rFonts w:hint="eastAsia" w:ascii="仿宋" w:hAnsi="仿宋" w:eastAsia="仿宋" w:cs="仿宋"/>
          <w:b/>
          <w:bCs/>
          <w:sz w:val="28"/>
          <w:szCs w:val="28"/>
        </w:rPr>
        <w:t xml:space="preserve">6、磋商文件构成</w:t>
      </w:r>
      <w:bookmarkEnd w:id="91"/>
      <w:r/>
      <w:bookmarkEnd w:id="92"/>
      <w:r/>
      <w:bookmarkEnd w:id="93"/>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请仔细检查磋商文件是否齐全，如有缺漏请立即与交易中心联系解决。</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sz w:val="28"/>
          <w:szCs w:val="28"/>
        </w:rPr>
        <w:outlineLvl w:val="3"/>
      </w:pPr>
      <w:r/>
      <w:bookmarkStart w:id="94" w:name="_Toc513029211"/>
      <w:r/>
      <w:bookmarkStart w:id="95" w:name="_Toc462564070"/>
      <w:r/>
      <w:bookmarkStart w:id="96" w:name="_Toc16938527"/>
      <w:r/>
      <w:bookmarkStart w:id="97" w:name="_Toc20823283"/>
      <w:r>
        <w:rPr>
          <w:rFonts w:hint="eastAsia" w:ascii="仿宋" w:hAnsi="仿宋" w:eastAsia="仿宋" w:cs="仿宋"/>
          <w:b/>
          <w:bCs/>
          <w:sz w:val="28"/>
          <w:szCs w:val="28"/>
        </w:rPr>
        <w:t xml:space="preserve">7、磋商文件的澄清</w:t>
      </w:r>
      <w:bookmarkEnd w:id="94"/>
      <w:r/>
      <w:bookmarkEnd w:id="95"/>
      <w:r/>
      <w:bookmarkEnd w:id="96"/>
      <w:r/>
      <w:bookmarkEnd w:id="97"/>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sz w:val="28"/>
          <w:szCs w:val="28"/>
        </w:rPr>
        <w:outlineLvl w:val="3"/>
      </w:pPr>
      <w:r/>
      <w:bookmarkStart w:id="98" w:name="_Toc20823284"/>
      <w:r/>
      <w:bookmarkStart w:id="99" w:name="_Toc462564071"/>
      <w:r/>
      <w:bookmarkStart w:id="100" w:name="_Toc16938528"/>
      <w:r/>
      <w:bookmarkStart w:id="101" w:name="_Toc513029212"/>
      <w:r>
        <w:rPr>
          <w:rFonts w:hint="eastAsia" w:ascii="仿宋" w:hAnsi="仿宋" w:eastAsia="仿宋" w:cs="仿宋"/>
          <w:b/>
          <w:bCs/>
          <w:sz w:val="28"/>
          <w:szCs w:val="28"/>
        </w:rPr>
        <w:t xml:space="preserve">8、磋商文件的澄清和修改</w:t>
      </w:r>
      <w:bookmarkEnd w:id="98"/>
      <w:r/>
      <w:bookmarkEnd w:id="99"/>
      <w:r/>
      <w:bookmarkEnd w:id="100"/>
      <w:r/>
      <w:bookmarkEnd w:id="101"/>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ascii="仿宋" w:hAnsi="仿宋" w:eastAsia="仿宋" w:cs="仿宋"/>
          <w:b/>
          <w:bCs/>
          <w:sz w:val="32"/>
          <w:szCs w:val="32"/>
        </w:rPr>
        <w:outlineLvl w:val="2"/>
      </w:pPr>
      <w:r/>
      <w:bookmarkStart w:id="102" w:name="_Toc20823285"/>
      <w:r/>
      <w:bookmarkStart w:id="103" w:name="_Toc462564072"/>
      <w:r/>
      <w:bookmarkStart w:id="104" w:name="_Toc16938529"/>
      <w:r/>
      <w:bookmarkStart w:id="105" w:name="_Toc513029213"/>
      <w:r/>
      <w:bookmarkStart w:id="106" w:name="_Toc120614216"/>
      <w:r>
        <w:rPr>
          <w:rFonts w:hint="eastAsia" w:ascii="仿宋" w:hAnsi="仿宋" w:eastAsia="仿宋" w:cs="仿宋"/>
          <w:b/>
          <w:bCs/>
          <w:sz w:val="32"/>
          <w:szCs w:val="32"/>
        </w:rPr>
        <w:t xml:space="preserve">三、响应文件的编制</w:t>
      </w:r>
      <w:bookmarkEnd w:id="102"/>
      <w:r/>
      <w:bookmarkEnd w:id="103"/>
      <w:r/>
      <w:bookmarkEnd w:id="104"/>
      <w:r/>
      <w:bookmarkEnd w:id="105"/>
      <w:r/>
      <w:bookmarkEnd w:id="106"/>
      <w:r/>
      <w:r/>
    </w:p>
    <w:p>
      <w:pPr>
        <w:ind w:firstLine="422"/>
        <w:keepLines/>
        <w:keepNext/>
        <w:rPr>
          <w:rFonts w:ascii="仿宋" w:hAnsi="仿宋" w:eastAsia="仿宋" w:cs="仿宋"/>
          <w:b/>
          <w:bCs/>
          <w:sz w:val="28"/>
          <w:szCs w:val="28"/>
        </w:rPr>
        <w:outlineLvl w:val="3"/>
      </w:pPr>
      <w:r/>
      <w:bookmarkStart w:id="107" w:name="_Toc20823286"/>
      <w:r/>
      <w:bookmarkStart w:id="108" w:name="_Toc16938530"/>
      <w:r/>
      <w:bookmarkStart w:id="109" w:name="_Toc513029214"/>
      <w:r/>
      <w:bookmarkStart w:id="110" w:name="_Toc462564073"/>
      <w:r>
        <w:rPr>
          <w:rFonts w:hint="eastAsia" w:ascii="仿宋" w:hAnsi="仿宋" w:eastAsia="仿宋" w:cs="仿宋"/>
          <w:b/>
          <w:bCs/>
          <w:sz w:val="28"/>
          <w:szCs w:val="28"/>
        </w:rPr>
        <w:t xml:space="preserve">9、响应文件的语言及度量衡单位</w:t>
      </w:r>
      <w:bookmarkEnd w:id="107"/>
      <w:r/>
      <w:bookmarkEnd w:id="108"/>
      <w:r/>
      <w:bookmarkEnd w:id="109"/>
      <w:r/>
      <w:bookmarkEnd w:id="110"/>
      <w:r/>
      <w:r/>
    </w:p>
    <w:p>
      <w:pPr>
        <w:ind w:firstLine="480"/>
        <w:spacing w:line="500" w:lineRule="exact"/>
        <w:rPr>
          <w:rFonts w:ascii="仿宋" w:hAnsi="仿宋" w:eastAsia="仿宋" w:cs="仿宋"/>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供应商提交的响应文件以及供应商与交易中心及采购人就有关磋商的所有来往通知、函件和文件均应使用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sz w:val="28"/>
          <w:szCs w:val="28"/>
        </w:rPr>
        <w:outlineLvl w:val="3"/>
      </w:pPr>
      <w:r/>
      <w:bookmarkStart w:id="111" w:name="_Toc462564074"/>
      <w:r/>
      <w:bookmarkStart w:id="112" w:name="_Toc513029215"/>
      <w:r/>
      <w:bookmarkStart w:id="113" w:name="_Toc16938531"/>
      <w:r/>
      <w:bookmarkStart w:id="114" w:name="_Toc20823287"/>
      <w:r>
        <w:rPr>
          <w:rFonts w:hint="eastAsia" w:ascii="仿宋" w:hAnsi="仿宋" w:eastAsia="仿宋" w:cs="仿宋"/>
          <w:b/>
          <w:bCs/>
          <w:sz w:val="28"/>
          <w:szCs w:val="28"/>
        </w:rPr>
        <w:t xml:space="preserve">10、响应文件构成</w:t>
      </w:r>
      <w:bookmarkEnd w:id="111"/>
      <w:r/>
      <w:bookmarkEnd w:id="112"/>
      <w:r/>
      <w:bookmarkEnd w:id="113"/>
      <w:r/>
      <w:bookmarkEnd w:id="114"/>
      <w:r/>
      <w:r/>
    </w:p>
    <w:p>
      <w:pPr>
        <w:pStyle w:val="657"/>
        <w:ind w:firstLine="480"/>
        <w:rPr>
          <w:rFonts w:ascii="仿宋" w:hAnsi="仿宋" w:eastAsia="仿宋" w:cs="仿宋"/>
          <w:sz w:val="24"/>
          <w:szCs w:val="21"/>
        </w:rPr>
      </w:pPr>
      <w:r>
        <w:rPr>
          <w:rFonts w:hint="eastAsia" w:ascii="仿宋" w:hAnsi="仿宋" w:eastAsia="仿宋" w:cs="仿宋"/>
          <w:bCs/>
          <w:sz w:val="24"/>
          <w:szCs w:val="21"/>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sz w:val="28"/>
          <w:szCs w:val="28"/>
        </w:rPr>
        <w:outlineLvl w:val="3"/>
      </w:pPr>
      <w:r/>
      <w:bookmarkStart w:id="115" w:name="_Hlt26954838"/>
      <w:r/>
      <w:bookmarkEnd w:id="115"/>
      <w:r/>
      <w:bookmarkStart w:id="116" w:name="_Hlt26670360"/>
      <w:r/>
      <w:bookmarkEnd w:id="116"/>
      <w:r/>
      <w:bookmarkStart w:id="117" w:name="_Hlt26668975"/>
      <w:r/>
      <w:bookmarkEnd w:id="117"/>
      <w:r/>
      <w:bookmarkStart w:id="118" w:name="_Toc513029219"/>
      <w:r/>
      <w:bookmarkStart w:id="119" w:name="_Toc49090509"/>
      <w:r/>
      <w:bookmarkStart w:id="120" w:name="_Toc14577357"/>
      <w:r/>
      <w:bookmarkStart w:id="121" w:name="_Toc49090507"/>
      <w:r/>
      <w:bookmarkStart w:id="122" w:name="_Toc513029216"/>
      <w:r/>
      <w:bookmarkStart w:id="123" w:name="_Toc14577354"/>
      <w:r/>
      <w:bookmarkStart w:id="124" w:name="_Toc49090508"/>
      <w:r/>
      <w:bookmarkStart w:id="125" w:name="_Toc14577355"/>
      <w:r>
        <w:rPr>
          <w:rFonts w:hint="eastAsia" w:ascii="仿宋" w:hAnsi="仿宋" w:eastAsia="仿宋" w:cs="仿宋"/>
          <w:b/>
          <w:bCs/>
          <w:sz w:val="28"/>
          <w:szCs w:val="28"/>
        </w:rPr>
        <w:t xml:space="preserve">11、证明磋商响应标的符合磋商文件规定的文件</w:t>
      </w:r>
      <w:bookmarkEnd w:id="118"/>
      <w:r/>
      <w:bookmarkEnd w:id="119"/>
      <w:r/>
      <w:bookmarkEnd w:id="120"/>
      <w:r/>
      <w:bookmarkEnd w:id="121"/>
      <w:bookmarkEnd w:id="122"/>
      <w:bookmarkEnd w:id="123"/>
      <w:r/>
    </w:p>
    <w:p>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4"/>
      <w:bookmarkEnd w:id="125"/>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spacing w:line="500" w:lineRule="exact"/>
        <w:rPr>
          <w:rFonts w:ascii="仿宋" w:hAnsi="仿宋" w:eastAsia="仿宋" w:cs="仿宋"/>
          <w:b/>
          <w:bCs/>
          <w:sz w:val="28"/>
          <w:szCs w:val="28"/>
        </w:rPr>
        <w:outlineLvl w:val="3"/>
      </w:pPr>
      <w:r/>
      <w:bookmarkStart w:id="126" w:name="_Hlt26954846"/>
      <w:r/>
      <w:bookmarkEnd w:id="126"/>
      <w:r/>
      <w:bookmarkStart w:id="127" w:name="_Hlt26670486"/>
      <w:r/>
      <w:bookmarkEnd w:id="127"/>
      <w:r/>
      <w:bookmarkStart w:id="128" w:name="_Hlt26954848"/>
      <w:r/>
      <w:bookmarkEnd w:id="128"/>
      <w:r/>
      <w:bookmarkStart w:id="129" w:name="_Hlt26670482"/>
      <w:r/>
      <w:bookmarkEnd w:id="129"/>
      <w:r/>
      <w:bookmarkStart w:id="130" w:name="_Hlt26954731"/>
      <w:r/>
      <w:bookmarkEnd w:id="130"/>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ascii="仿宋" w:hAnsi="仿宋" w:eastAsia="仿宋" w:cs="仿宋"/>
          <w:color w:val="ff0000"/>
          <w:highlight w:val="yellow"/>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sz w:val="24"/>
          <w:szCs w:val="24"/>
        </w:rPr>
        <w:t xml:space="preserve">并说明偏离情况。</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lang w:val="zh-CN"/>
        </w:rPr>
        <w:t xml:space="preserve">商</w:t>
      </w:r>
      <w:r>
        <w:rPr>
          <w:rFonts w:hint="eastAsia" w:ascii="仿宋" w:hAnsi="仿宋" w:eastAsia="仿宋" w:cs="仿宋"/>
          <w:sz w:val="24"/>
          <w:szCs w:val="24"/>
        </w:rPr>
        <w:t xml:space="preserve">须</w:t>
      </w:r>
      <w:r>
        <w:rPr>
          <w:rFonts w:hint="eastAsia" w:ascii="仿宋" w:hAnsi="仿宋" w:eastAsia="仿宋" w:cs="仿宋"/>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14.2供应商须根据磋商文件要求提供培训计划。</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14.3供应商须根据磋</w:t>
      </w:r>
      <w:r>
        <w:rPr>
          <w:rFonts w:hint="eastAsia" w:ascii="仿宋" w:hAnsi="仿宋" w:eastAsia="仿宋" w:cs="仿宋"/>
          <w:sz w:val="24"/>
          <w:szCs w:val="24"/>
        </w:rPr>
        <w:t xml:space="preserve">商文件要求提供</w:t>
      </w:r>
      <w:r>
        <w:rPr>
          <w:rFonts w:hint="eastAsia" w:ascii="仿宋" w:hAnsi="仿宋" w:eastAsia="仿宋" w:cs="仿宋"/>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sz w:val="28"/>
          <w:szCs w:val="28"/>
        </w:rPr>
        <w:outlineLvl w:val="3"/>
      </w:pPr>
      <w:r/>
      <w:bookmarkStart w:id="131" w:name="_Toc49090510"/>
      <w:r/>
      <w:bookmarkStart w:id="132" w:name="_Toc14577359"/>
      <w:r>
        <w:rPr>
          <w:rFonts w:hint="eastAsia" w:ascii="仿宋" w:hAnsi="仿宋" w:eastAsia="仿宋" w:cs="仿宋"/>
          <w:b/>
          <w:bCs/>
          <w:sz w:val="28"/>
          <w:szCs w:val="28"/>
        </w:rPr>
        <w:t xml:space="preserve">15、磋商响应函</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1"/>
      <w:bookmarkEnd w:id="132"/>
      <w:r/>
    </w:p>
    <w:p>
      <w:pPr>
        <w:ind w:firstLine="422"/>
        <w:keepLines/>
        <w:keepNext/>
        <w:spacing w:line="500" w:lineRule="exact"/>
        <w:rPr>
          <w:rFonts w:ascii="仿宋" w:hAnsi="仿宋" w:eastAsia="仿宋" w:cs="仿宋"/>
          <w:b/>
          <w:bCs/>
          <w:sz w:val="28"/>
          <w:szCs w:val="28"/>
        </w:rPr>
        <w:outlineLvl w:val="3"/>
      </w:pPr>
      <w:r/>
      <w:bookmarkStart w:id="133" w:name="_Toc49090511"/>
      <w:r/>
      <w:bookmarkStart w:id="134" w:name="_Toc14577360"/>
      <w:r>
        <w:rPr>
          <w:rFonts w:hint="eastAsia" w:ascii="仿宋" w:hAnsi="仿宋" w:eastAsia="仿宋" w:cs="仿宋"/>
          <w:b/>
          <w:bCs/>
          <w:sz w:val="28"/>
          <w:szCs w:val="28"/>
        </w:rPr>
        <w:t xml:space="preserve">16、磋商有效期</w:t>
      </w:r>
      <w:bookmarkEnd w:id="133"/>
      <w:r/>
      <w:bookmarkEnd w:id="134"/>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16.1磋商有效期为交易中心规定的提交响应文件截止之日后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135" w:name="_Hlt26954739"/>
      <w:r/>
      <w:bookmarkEnd w:id="135"/>
      <w:r/>
      <w:bookmarkStart w:id="136" w:name="_Hlt26954852"/>
      <w:r/>
      <w:bookmarkEnd w:id="136"/>
      <w:r/>
      <w:bookmarkStart w:id="137" w:name="_Toc16938540"/>
      <w:r/>
      <w:bookmarkStart w:id="138" w:name="_Toc120614217"/>
      <w:r/>
      <w:bookmarkStart w:id="139" w:name="_Toc513029224"/>
      <w:r/>
      <w:bookmarkStart w:id="140" w:name="_Toc20823296"/>
      <w:r>
        <w:rPr>
          <w:rFonts w:hint="eastAsia" w:ascii="仿宋" w:hAnsi="仿宋" w:eastAsia="仿宋" w:cs="仿宋"/>
          <w:b/>
          <w:bCs/>
          <w:sz w:val="32"/>
          <w:szCs w:val="32"/>
        </w:rPr>
        <w:t xml:space="preserve">四、响应文件的递交</w:t>
      </w:r>
      <w:bookmarkEnd w:id="137"/>
      <w:r/>
      <w:bookmarkEnd w:id="138"/>
      <w:r/>
      <w:bookmarkEnd w:id="139"/>
      <w:r/>
      <w:bookmarkEnd w:id="140"/>
      <w:r/>
      <w:r/>
    </w:p>
    <w:p>
      <w:pPr>
        <w:ind w:firstLine="422"/>
        <w:keepLines/>
        <w:keepNext/>
        <w:spacing w:line="500" w:lineRule="exact"/>
        <w:rPr>
          <w:rFonts w:ascii="仿宋" w:hAnsi="仿宋" w:eastAsia="仿宋" w:cs="仿宋"/>
          <w:b/>
          <w:bCs/>
          <w:sz w:val="28"/>
          <w:szCs w:val="28"/>
        </w:rPr>
        <w:outlineLvl w:val="3"/>
      </w:pPr>
      <w:r/>
      <w:bookmarkStart w:id="141" w:name="_Toc513029225"/>
      <w:r/>
      <w:bookmarkStart w:id="142" w:name="_Toc16938541"/>
      <w:r/>
      <w:bookmarkStart w:id="143" w:name="_Toc20823297"/>
      <w:r/>
      <w:bookmarkStart w:id="144" w:name="_Toc462564084"/>
      <w:r>
        <w:rPr>
          <w:rFonts w:hint="eastAsia" w:ascii="仿宋" w:hAnsi="仿宋" w:eastAsia="仿宋" w:cs="仿宋"/>
          <w:b/>
          <w:bCs/>
          <w:sz w:val="28"/>
          <w:szCs w:val="28"/>
        </w:rPr>
        <w:t xml:space="preserve">18、电子磋商</w:t>
      </w:r>
      <w:bookmarkEnd w:id="141"/>
      <w:r/>
      <w:bookmarkEnd w:id="142"/>
      <w:r/>
      <w:bookmarkEnd w:id="143"/>
      <w:r/>
      <w:bookmarkEnd w:id="144"/>
      <w:r>
        <w:rPr>
          <w:rFonts w:hint="eastAsia" w:ascii="仿宋" w:hAnsi="仿宋" w:eastAsia="仿宋" w:cs="仿宋"/>
          <w:b/>
          <w:bCs/>
          <w:sz w:val="28"/>
          <w:szCs w:val="28"/>
        </w:rPr>
        <w:t xml:space="preserve">响应文件的递交</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18.1供应商应当按照《操作指南》规定，在提交响应文件截止时间前制作并上传电子响应文件。</w:t>
      </w:r>
      <w:bookmarkStart w:id="145" w:name="_Toc20823298"/>
      <w:r/>
      <w:bookmarkStart w:id="146" w:name="_Toc16938542"/>
      <w:r/>
      <w:bookmarkStart w:id="147" w:name="_Toc513029226"/>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5"/>
      <w:r/>
      <w:bookmarkEnd w:id="146"/>
      <w:r/>
      <w:bookmarkEnd w:id="147"/>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sz w:val="28"/>
          <w:szCs w:val="28"/>
        </w:rPr>
        <w:outlineLvl w:val="3"/>
      </w:pPr>
      <w:r/>
      <w:bookmarkStart w:id="148" w:name="_Toc20823299"/>
      <w:r/>
      <w:bookmarkStart w:id="149" w:name="_Toc16938543"/>
      <w:r/>
      <w:bookmarkStart w:id="150" w:name="_Toc513029227"/>
      <w:r>
        <w:rPr>
          <w:rFonts w:hint="eastAsia" w:ascii="仿宋" w:hAnsi="仿宋" w:eastAsia="仿宋" w:cs="仿宋"/>
          <w:b/>
          <w:bCs/>
          <w:sz w:val="28"/>
          <w:szCs w:val="28"/>
        </w:rPr>
        <w:t xml:space="preserve">20、响应文件</w:t>
      </w:r>
      <w:bookmarkEnd w:id="148"/>
      <w:r/>
      <w:bookmarkEnd w:id="149"/>
      <w:r/>
      <w:bookmarkEnd w:id="150"/>
      <w:r>
        <w:rPr>
          <w:rFonts w:hint="eastAsia" w:ascii="仿宋" w:hAnsi="仿宋" w:eastAsia="仿宋" w:cs="仿宋"/>
          <w:b/>
          <w:bCs/>
          <w:sz w:val="28"/>
          <w:szCs w:val="28"/>
        </w:rPr>
        <w:t xml:space="preserve">的拒收</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20.1 交易中心拒绝接收在其规定的提交响应文件截止时间后上传的任何电子响应文件。</w:t>
      </w:r>
      <w:r/>
    </w:p>
    <w:p>
      <w:pPr>
        <w:ind w:firstLine="422"/>
        <w:keepLines/>
        <w:keepNext/>
        <w:spacing w:line="500" w:lineRule="exact"/>
        <w:rPr>
          <w:rFonts w:ascii="仿宋" w:hAnsi="仿宋" w:eastAsia="仿宋" w:cs="仿宋"/>
          <w:b/>
          <w:bCs/>
          <w:sz w:val="28"/>
          <w:szCs w:val="28"/>
        </w:rPr>
        <w:outlineLvl w:val="3"/>
      </w:pPr>
      <w:r/>
      <w:bookmarkStart w:id="151" w:name="_Toc20823300"/>
      <w:r/>
      <w:bookmarkStart w:id="152" w:name="_Toc16938544"/>
      <w:r/>
      <w:bookmarkStart w:id="153" w:name="_Toc513029228"/>
      <w:r>
        <w:rPr>
          <w:rFonts w:hint="eastAsia" w:ascii="仿宋" w:hAnsi="仿宋" w:eastAsia="仿宋" w:cs="仿宋"/>
          <w:b/>
          <w:bCs/>
          <w:sz w:val="28"/>
          <w:szCs w:val="28"/>
        </w:rPr>
        <w:t xml:space="preserve">21、响应文件的撤回和修改</w:t>
      </w:r>
      <w:bookmarkEnd w:id="151"/>
      <w:r/>
      <w:bookmarkEnd w:id="152"/>
      <w:r/>
      <w:bookmarkEnd w:id="153"/>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截止时间前，撤回其电子响应文件，具体操作方法见《操作指南》。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截止时间前，对其电子响应文件进行修改，具体操作方法见《操作指南》。</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ascii="仿宋" w:hAnsi="仿宋" w:eastAsia="仿宋" w:cs="仿宋"/>
          <w:b/>
          <w:bCs/>
          <w:sz w:val="32"/>
          <w:szCs w:val="32"/>
        </w:rPr>
        <w:outlineLvl w:val="2"/>
      </w:pPr>
      <w:r/>
      <w:bookmarkStart w:id="154" w:name="_Toc16938545"/>
      <w:r/>
      <w:bookmarkStart w:id="155" w:name="_Toc20823301"/>
      <w:r/>
      <w:bookmarkStart w:id="156" w:name="_Toc120614218"/>
      <w:r/>
      <w:bookmarkStart w:id="157" w:name="_Toc513029229"/>
      <w:r>
        <w:rPr>
          <w:rFonts w:hint="eastAsia" w:ascii="仿宋" w:hAnsi="仿宋" w:eastAsia="仿宋" w:cs="仿宋"/>
          <w:b/>
          <w:bCs/>
          <w:sz w:val="32"/>
          <w:szCs w:val="32"/>
        </w:rPr>
        <w:t xml:space="preserve">五、响应文件的解密与评审</w:t>
      </w:r>
      <w:bookmarkEnd w:id="154"/>
      <w:r/>
      <w:bookmarkEnd w:id="155"/>
      <w:r/>
      <w:bookmarkEnd w:id="156"/>
      <w:r/>
      <w:bookmarkEnd w:id="157"/>
      <w:r/>
      <w:r/>
    </w:p>
    <w:p>
      <w:pPr>
        <w:ind w:firstLine="422"/>
        <w:keepLines/>
        <w:keepNext/>
        <w:spacing w:line="500" w:lineRule="exact"/>
        <w:rPr>
          <w:rFonts w:ascii="仿宋" w:hAnsi="仿宋" w:eastAsia="仿宋" w:cs="仿宋"/>
          <w:b/>
          <w:bCs/>
          <w:sz w:val="28"/>
          <w:szCs w:val="28"/>
        </w:rPr>
        <w:outlineLvl w:val="3"/>
      </w:pPr>
      <w:r/>
      <w:bookmarkStart w:id="158" w:name="_Toc16938546"/>
      <w:r/>
      <w:bookmarkStart w:id="159" w:name="_Toc20823302"/>
      <w:r/>
      <w:bookmarkStart w:id="160" w:name="_Toc513029230"/>
      <w:r>
        <w:rPr>
          <w:rFonts w:hint="eastAsia" w:ascii="仿宋" w:hAnsi="仿宋" w:eastAsia="仿宋" w:cs="仿宋"/>
          <w:b/>
          <w:bCs/>
          <w:sz w:val="28"/>
          <w:szCs w:val="28"/>
        </w:rPr>
        <w:t xml:space="preserve">22、</w:t>
      </w:r>
      <w:bookmarkEnd w:id="158"/>
      <w:r/>
      <w:bookmarkEnd w:id="159"/>
      <w:r/>
      <w:bookmarkEnd w:id="160"/>
      <w:r>
        <w:rPr>
          <w:rFonts w:hint="eastAsia" w:ascii="仿宋" w:hAnsi="仿宋" w:eastAsia="仿宋" w:cs="仿宋"/>
          <w:b/>
          <w:bCs/>
          <w:sz w:val="28"/>
          <w:szCs w:val="28"/>
        </w:rPr>
        <w:t xml:space="preserve">响应文件解密</w:t>
      </w:r>
      <w:r/>
    </w:p>
    <w:p>
      <w:pPr>
        <w:ind w:firstLine="360"/>
        <w:spacing w:line="5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sz w:val="28"/>
          <w:szCs w:val="28"/>
        </w:rPr>
        <w:outlineLvl w:val="3"/>
      </w:pPr>
      <w:r/>
      <w:bookmarkStart w:id="161" w:name="_Toc20823303"/>
      <w:r/>
      <w:bookmarkStart w:id="162" w:name="_Toc513029231"/>
      <w:r/>
      <w:bookmarkStart w:id="163" w:name="_Toc16938547"/>
      <w:r>
        <w:rPr>
          <w:rFonts w:hint="eastAsia" w:ascii="仿宋" w:hAnsi="仿宋" w:eastAsia="仿宋" w:cs="仿宋"/>
          <w:b/>
          <w:bCs/>
          <w:sz w:val="28"/>
          <w:szCs w:val="28"/>
        </w:rPr>
        <w:t xml:space="preserve">23、磋商小组</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r/>
    </w:p>
    <w:p>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1"/>
      <w:bookmarkEnd w:id="162"/>
      <w:bookmarkEnd w:id="163"/>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在项目评审期间，交易中心将设专门人员与供应商联系。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24.4 交易中心和磋商小组不向未成交的供应商解释未成交原因，也不公布评审过程中的相关细节。</w:t>
      </w:r>
      <w:r/>
    </w:p>
    <w:p>
      <w:pPr>
        <w:ind w:firstLine="422"/>
        <w:keepLines/>
        <w:keepNext/>
        <w:spacing w:line="500" w:lineRule="exact"/>
        <w:rPr>
          <w:rFonts w:ascii="仿宋" w:hAnsi="仿宋" w:eastAsia="仿宋" w:cs="仿宋"/>
          <w:b/>
          <w:bCs/>
          <w:sz w:val="28"/>
          <w:szCs w:val="28"/>
        </w:rPr>
        <w:outlineLvl w:val="3"/>
      </w:pPr>
      <w:r/>
      <w:bookmarkStart w:id="164" w:name="_Toc16938548"/>
      <w:r/>
      <w:bookmarkStart w:id="165" w:name="_Toc513029232"/>
      <w:r/>
      <w:bookmarkStart w:id="166" w:name="_Toc20823304"/>
      <w:r>
        <w:rPr>
          <w:rFonts w:hint="eastAsia" w:ascii="仿宋" w:hAnsi="仿宋" w:eastAsia="仿宋" w:cs="仿宋"/>
          <w:b/>
          <w:bCs/>
          <w:sz w:val="28"/>
          <w:szCs w:val="28"/>
        </w:rPr>
        <w:t xml:space="preserve">25、评审过程中的澄清</w:t>
      </w:r>
      <w:bookmarkEnd w:id="164"/>
      <w:r/>
      <w:bookmarkEnd w:id="165"/>
      <w:r/>
      <w:bookmarkEnd w:id="166"/>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sz w:val="28"/>
          <w:szCs w:val="28"/>
        </w:rPr>
        <w:outlineLvl w:val="3"/>
      </w:pPr>
      <w:r/>
      <w:bookmarkStart w:id="167" w:name="_Toc513029233"/>
      <w:r/>
      <w:bookmarkStart w:id="168" w:name="_Toc20823305"/>
      <w:r/>
      <w:bookmarkStart w:id="169" w:name="_Toc16938549"/>
      <w:r>
        <w:rPr>
          <w:rFonts w:hint="eastAsia" w:ascii="仿宋" w:hAnsi="仿宋" w:eastAsia="仿宋" w:cs="仿宋"/>
          <w:b/>
          <w:bCs/>
          <w:sz w:val="28"/>
          <w:szCs w:val="28"/>
        </w:rPr>
        <w:t xml:space="preserve">26、对响应文件的审</w:t>
      </w:r>
      <w:bookmarkEnd w:id="167"/>
      <w:r/>
      <w:bookmarkEnd w:id="168"/>
      <w:r/>
      <w:bookmarkEnd w:id="169"/>
      <w:r>
        <w:rPr>
          <w:rFonts w:hint="eastAsia" w:ascii="仿宋" w:hAnsi="仿宋" w:eastAsia="仿宋" w:cs="仿宋"/>
          <w:b/>
          <w:bCs/>
          <w:sz w:val="28"/>
          <w:szCs w:val="28"/>
        </w:rPr>
        <w:t xml:space="preserve">查</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26.6磋商小组将允许修正响应文件中不构成重大偏离的、微小的、非正规的、不一致的或不规则的地方，但这些修改不能影响任何供应商相应的名次排列。</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26.7.异常低价审查</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26.7.1根据省财政厅《关于推动解决政府采购异常低价问题相关工作的通知》（苏财购〔2025〕62号）要求，评审过程中出现下列情形之一的，</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应当启动异常低价投标（响应）审查程序：</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26.7.1.1投标(响应)报价低于采购项目预算50%的，即投标(响应)报价&lt;采购项目预算×50%;</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26.7.1.2</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认定的供应商报价过低、有可能影响产品质量或者不能诚信履约的其他情形。</w:t>
      </w:r>
      <w:r/>
    </w:p>
    <w:p>
      <w:pPr>
        <w:ind w:firstLine="420"/>
        <w:spacing w:line="400" w:lineRule="exact"/>
        <w:rPr>
          <w:rFonts w:ascii="仿宋" w:hAnsi="仿宋" w:eastAsia="仿宋" w:cs="仿宋"/>
        </w:rPr>
      </w:pPr>
      <w:r>
        <w:rPr>
          <w:rFonts w:hint="eastAsia" w:ascii="仿宋" w:hAnsi="仿宋" w:eastAsia="仿宋" w:cs="仿宋"/>
          <w:color w:val="000000"/>
          <w:sz w:val="24"/>
          <w:szCs w:val="21"/>
        </w:rPr>
        <w:t xml:space="preserve">26.7.2启动异常低价投标(响应)审查后，</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应当将其作为无效投标(响应)处理。审查相关情况应当在评审报告中进行记录。</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26.8出现下列情形之一的，作无效响应处理。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26.8.1供应商在“苏采云系统”规定的时间内未成功解密电子响应文件的。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26.8.2供应商未按照磋商文件要求上传电子响应文件的,或上传的文件打不开的。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26.8.3</w:t>
      </w:r>
      <w:r>
        <w:rPr>
          <w:rFonts w:hint="eastAsia" w:ascii="仿宋" w:hAnsi="仿宋" w:eastAsia="仿宋" w:cs="仿宋"/>
          <w:bCs/>
          <w:sz w:val="24"/>
          <w:szCs w:val="21"/>
        </w:rPr>
        <w:t xml:space="preserve">供应商同一分包提交两个（含两个）以上不同的响应文件或者响应报价的。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26.8.6未通过符合性审查的。</w:t>
      </w:r>
      <w:r/>
    </w:p>
    <w:p>
      <w:pPr>
        <w:ind w:firstLine="480"/>
        <w:spacing w:line="500" w:lineRule="exact"/>
        <w:rPr>
          <w:rFonts w:ascii="仿宋" w:hAnsi="仿宋" w:eastAsia="仿宋" w:cs="仿宋"/>
          <w:i/>
          <w:iCs/>
          <w:color w:val="0000ff"/>
          <w:sz w:val="24"/>
          <w:szCs w:val="24"/>
          <w:u w:val="single"/>
        </w:rPr>
      </w:pPr>
      <w:r>
        <w:rPr>
          <w:rFonts w:hint="eastAsia" w:ascii="仿宋" w:hAnsi="仿宋" w:eastAsia="仿宋" w:cs="仿宋"/>
          <w:sz w:val="24"/>
          <w:szCs w:val="24"/>
        </w:rPr>
        <w:t xml:space="preserve">26.8.7不符合法律、法规和磋商文件中规定的实质性要求的</w:t>
      </w:r>
      <w:r>
        <w:rPr>
          <w:rFonts w:hint="eastAsia" w:ascii="仿宋" w:hAnsi="仿宋" w:eastAsia="仿宋" w:cs="仿宋"/>
          <w:i/>
          <w:iCs/>
          <w:color w:val="0000ff"/>
          <w:sz w:val="24"/>
          <w:szCs w:val="24"/>
          <w:u w:val="single"/>
        </w:rPr>
        <w:t xml:space="preserve">（本磋商文件中斜体且有下划线部分为实质性要求）。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26.8.9响应文件含有采购人不能接受的附加条件的。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26.8.12响应文件未按照磋商文件要求加盖CA电子公章的。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26.8.13未在规定时间内提交最后报价的，视作无效响应处理。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26.8.14其他法律、法规及本磋商文件规定的属无效响应的情形。</w:t>
      </w:r>
      <w:r/>
    </w:p>
    <w:p>
      <w:pPr>
        <w:ind w:firstLine="480"/>
        <w:spacing w:line="500" w:lineRule="exact"/>
        <w:rPr>
          <w:rFonts w:ascii="仿宋" w:hAnsi="仿宋" w:eastAsia="仿宋" w:cs="仿宋"/>
          <w:sz w:val="24"/>
          <w:szCs w:val="21"/>
        </w:rPr>
      </w:pPr>
      <w:r/>
      <w:bookmarkStart w:id="170" w:name="_Toc513029234"/>
      <w:r/>
      <w:bookmarkStart w:id="171" w:name="_Toc16938550"/>
      <w:r/>
      <w:bookmarkStart w:id="172" w:name="_Toc20823306"/>
      <w:r>
        <w:rPr>
          <w:rFonts w:hint="eastAsia" w:ascii="仿宋" w:hAnsi="仿宋" w:eastAsia="仿宋" w:cs="仿宋"/>
          <w:sz w:val="24"/>
          <w:szCs w:val="21"/>
        </w:rPr>
        <w:t xml:space="preserve">26.9供应商在项目评审全过程中应保持通讯畅通，并安排专人与交易中心及磋商小组联系。</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27、</w:t>
      </w:r>
      <w:bookmarkEnd w:id="170"/>
      <w:r/>
      <w:bookmarkEnd w:id="171"/>
      <w:r/>
      <w:bookmarkEnd w:id="172"/>
      <w:r>
        <w:rPr>
          <w:rFonts w:hint="eastAsia" w:ascii="仿宋" w:hAnsi="仿宋" w:eastAsia="仿宋" w:cs="仿宋"/>
          <w:b/>
          <w:bCs/>
          <w:sz w:val="28"/>
          <w:szCs w:val="28"/>
        </w:rPr>
        <w:t xml:space="preserve">磋商程序及评审方法和评审标准</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27.1磋商程序</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highlight w:val="yellow"/>
        </w:rPr>
        <w:t xml:space="preserve">（</w:t>
      </w:r>
      <w:r>
        <w:rPr>
          <w:rFonts w:hint="eastAsia" w:ascii="仿宋" w:hAnsi="仿宋" w:eastAsia="仿宋" w:cs="仿宋"/>
          <w:sz w:val="24"/>
          <w:szCs w:val="24"/>
          <w:highlight w:val="yellow"/>
          <w:lang w:val="en-US" w:eastAsia="zh-CN"/>
        </w:rPr>
        <w:t xml:space="preserve">1</w:t>
      </w:r>
      <w:r>
        <w:rPr>
          <w:rFonts w:hint="eastAsia" w:ascii="仿宋" w:hAnsi="仿宋" w:eastAsia="仿宋" w:cs="仿宋"/>
          <w:sz w:val="24"/>
          <w:szCs w:val="24"/>
          <w:highlight w:val="yellow"/>
        </w:rPr>
        <w:t xml:space="preserve">0分钟）</w:t>
      </w:r>
      <w:r>
        <w:rPr>
          <w:rFonts w:hint="eastAsia" w:ascii="仿宋" w:hAnsi="仿宋" w:eastAsia="仿宋" w:cs="仿宋"/>
          <w:sz w:val="24"/>
          <w:szCs w:val="24"/>
        </w:rPr>
        <w:t xml:space="preserve">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color w:val="ff0000"/>
          <w:sz w:val="24"/>
          <w:szCs w:val="21"/>
        </w:rPr>
        <w:t xml:space="preserve">〔2015〕124号</w:t>
      </w:r>
      <w:r>
        <w:rPr>
          <w:rFonts w:hint="eastAsia" w:ascii="仿宋" w:hAnsi="仿宋" w:eastAsia="仿宋" w:cs="仿宋"/>
          <w:sz w:val="24"/>
          <w:szCs w:val="21"/>
        </w:rPr>
        <w:t xml:space="preserve">）规定情形的，提交最后报价的供应商可以为2家。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27.2.2评审标准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3" w:name="_Toc16938551"/>
      <w:r/>
      <w:bookmarkStart w:id="174" w:name="_Toc120614219"/>
      <w:r/>
      <w:bookmarkStart w:id="175" w:name="_Toc513029235"/>
      <w:r/>
      <w:bookmarkStart w:id="176" w:name="_Toc20823307"/>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27.3.5因重大变故，采购任务取消的。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27.3.6磋商小组认定磋商文件存在歧义、重大缺陷导致评审工作无法进行。</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27.3.7因系统故障原因造成磋商无法继续进行的。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27.4响应文件提交截止时间结束后参加磋商的供应商不足三家的处理：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w:t>
      </w:r>
      <w:bookmarkEnd w:id="173"/>
      <w:r/>
      <w:bookmarkEnd w:id="174"/>
      <w:r/>
      <w:bookmarkEnd w:id="175"/>
      <w:r/>
      <w:bookmarkEnd w:id="176"/>
      <w:r>
        <w:rPr>
          <w:rFonts w:hint="eastAsia" w:ascii="仿宋" w:hAnsi="仿宋" w:eastAsia="仿宋" w:cs="仿宋"/>
          <w:b/>
          <w:bCs/>
          <w:sz w:val="32"/>
          <w:szCs w:val="32"/>
        </w:rPr>
        <w:t xml:space="preserve">成交</w:t>
      </w:r>
      <w:r/>
    </w:p>
    <w:p>
      <w:pPr>
        <w:ind w:firstLine="422"/>
        <w:keepLines/>
        <w:keepNext/>
        <w:rPr>
          <w:rFonts w:ascii="仿宋" w:hAnsi="仿宋" w:eastAsia="仿宋" w:cs="仿宋"/>
          <w:b/>
          <w:bCs/>
          <w:sz w:val="28"/>
          <w:szCs w:val="28"/>
        </w:rPr>
        <w:outlineLvl w:val="3"/>
      </w:pPr>
      <w:r/>
      <w:bookmarkStart w:id="177" w:name="_Toc513029238"/>
      <w:r/>
      <w:bookmarkStart w:id="178" w:name="_Toc20823310"/>
      <w:r/>
      <w:bookmarkStart w:id="179" w:name="_Toc16938554"/>
      <w:r>
        <w:rPr>
          <w:rFonts w:hint="eastAsia" w:ascii="仿宋" w:hAnsi="仿宋" w:eastAsia="仿宋" w:cs="仿宋"/>
          <w:b/>
          <w:bCs/>
          <w:sz w:val="28"/>
          <w:szCs w:val="28"/>
        </w:rPr>
        <w:t xml:space="preserve">28、</w:t>
      </w:r>
      <w:bookmarkEnd w:id="177"/>
      <w:r>
        <w:rPr>
          <w:rFonts w:hint="eastAsia" w:ascii="仿宋" w:hAnsi="仿宋" w:eastAsia="仿宋" w:cs="仿宋"/>
          <w:b/>
          <w:bCs/>
          <w:sz w:val="28"/>
          <w:szCs w:val="28"/>
        </w:rPr>
        <w:t xml:space="preserve">确定</w:t>
      </w:r>
      <w:bookmarkEnd w:id="178"/>
      <w:r/>
      <w:bookmarkEnd w:id="179"/>
      <w:r>
        <w:rPr>
          <w:rFonts w:hint="eastAsia" w:ascii="仿宋" w:hAnsi="仿宋" w:eastAsia="仿宋" w:cs="仿宋"/>
          <w:b/>
          <w:bCs/>
          <w:sz w:val="28"/>
          <w:szCs w:val="28"/>
        </w:rPr>
        <w:t xml:space="preserve">成交单位</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28.2</w:t>
      </w:r>
      <w:r>
        <w:rPr>
          <w:rFonts w:hint="eastAsia" w:ascii="仿宋" w:hAnsi="仿宋" w:eastAsia="仿宋" w:cs="仿宋"/>
          <w:bCs/>
          <w:color w:val="0000ff"/>
          <w:sz w:val="24"/>
          <w:szCs w:val="21"/>
        </w:rPr>
        <w:t xml:space="preserve">采购人在评标报告确定的成交候选人名单中按顺序确定成交供应商</w:t>
      </w:r>
      <w:r>
        <w:rPr>
          <w:rFonts w:hint="eastAsia" w:ascii="仿宋" w:hAnsi="仿宋" w:eastAsia="仿宋" w:cs="仿宋"/>
          <w:bCs/>
          <w:sz w:val="24"/>
          <w:szCs w:val="21"/>
        </w:rPr>
        <w:t xml:space="preserve">。确定成交供应商之日起2个工作日内，交易中心将在“江苏政府采购网”发布成交结果公告，公告期限为1个工作日。</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28.3.2与评审专家、采购人、其他供应商或者交易中心工作人员恶意串通的。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28.3.3向评审专家、采购人或交易中心工作人员行贿或者提供其他不正当利益的。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28.3.6将政府采购合同转包的。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28.4有下列情形之一的，视为供应商串通参与磋商，响应无效：</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28.4.1不同供应商的响应文件由同一单位或者个人编制；</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28.4.2不同供应商委托同一单位或者个人办理磋商事宜；</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sz w:val="24"/>
          <w:szCs w:val="21"/>
        </w:rPr>
      </w:pPr>
      <w:r>
        <w:rPr>
          <w:rFonts w:hint="eastAsia" w:ascii="仿宋" w:hAnsi="仿宋" w:eastAsia="仿宋" w:cs="仿宋"/>
          <w:sz w:val="24"/>
          <w:szCs w:val="24"/>
        </w:rPr>
        <w:t xml:space="preserve">28.4.4不同供应商的响应文件异常一</w:t>
      </w:r>
      <w:r>
        <w:rPr>
          <w:rFonts w:hint="eastAsia" w:ascii="仿宋" w:hAnsi="仿宋" w:eastAsia="仿宋" w:cs="仿宋"/>
          <w:bCs/>
          <w:sz w:val="24"/>
          <w:szCs w:val="21"/>
        </w:rPr>
        <w:t xml:space="preserve">致或者响应报价呈规律性差异。</w:t>
      </w:r>
      <w:r/>
    </w:p>
    <w:p>
      <w:pPr>
        <w:ind w:firstLine="422"/>
        <w:keepLines/>
        <w:keepNext/>
        <w:rPr>
          <w:rFonts w:ascii="仿宋" w:hAnsi="仿宋" w:eastAsia="仿宋" w:cs="仿宋"/>
          <w:b/>
          <w:bCs/>
          <w:sz w:val="28"/>
          <w:szCs w:val="28"/>
        </w:rPr>
        <w:outlineLvl w:val="3"/>
      </w:pPr>
      <w:r/>
      <w:bookmarkStart w:id="180" w:name="_Toc200451960"/>
      <w:r>
        <w:rPr>
          <w:rFonts w:hint="eastAsia" w:ascii="仿宋" w:hAnsi="仿宋" w:eastAsia="仿宋" w:cs="仿宋"/>
          <w:b/>
          <w:bCs/>
          <w:sz w:val="28"/>
          <w:szCs w:val="28"/>
        </w:rPr>
        <w:t xml:space="preserve">29、质疑处理</w:t>
      </w:r>
      <w:bookmarkEnd w:id="180"/>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采购人及交易中心只接收以纸质原件形式送达的质疑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采购人和交易中心不接受无快递运单号的快递</w:t>
      </w:r>
      <w:r>
        <w:rPr>
          <w:rFonts w:hint="eastAsia" w:ascii="仿宋" w:hAnsi="仿宋" w:eastAsia="仿宋" w:cs="仿宋"/>
          <w:sz w:val="24"/>
          <w:szCs w:val="24"/>
        </w:rPr>
        <w:t xml:space="preserve">）。</w:t>
      </w:r>
      <w:r/>
    </w:p>
    <w:p>
      <w:pPr>
        <w:ind w:firstLine="480"/>
        <w:spacing w:line="480" w:lineRule="exact"/>
        <w:rPr>
          <w:rFonts w:ascii="仿宋" w:hAnsi="仿宋" w:eastAsia="仿宋" w:cs="仿宋"/>
        </w:rPr>
      </w:pPr>
      <w:r>
        <w:rPr>
          <w:rFonts w:hint="eastAsia" w:ascii="仿宋" w:hAnsi="仿宋" w:eastAsia="仿宋" w:cs="仿宋"/>
          <w:sz w:val="24"/>
          <w:szCs w:val="24"/>
        </w:rPr>
        <w:t xml:space="preserve">采购人质疑接收人及联系方式，见本磋商文件第一章。</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交易中心质疑受理部门及联系方式，见本磋商文件第一章。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ascii="仿宋" w:hAnsi="仿宋" w:eastAsia="仿宋" w:cs="仿宋"/>
          <w:b/>
          <w:bCs/>
          <w:sz w:val="32"/>
          <w:szCs w:val="32"/>
        </w:rPr>
        <w:outlineLvl w:val="2"/>
      </w:pPr>
      <w:r/>
      <w:bookmarkStart w:id="181" w:name="_Toc120614220"/>
      <w:r/>
      <w:bookmarkStart w:id="182" w:name="_Toc20823308"/>
      <w:r/>
      <w:bookmarkStart w:id="183" w:name="_Toc513029236"/>
      <w:r/>
      <w:bookmarkStart w:id="184" w:name="_Toc16938552"/>
      <w:r>
        <w:rPr>
          <w:rFonts w:hint="eastAsia" w:ascii="仿宋" w:hAnsi="仿宋" w:eastAsia="仿宋" w:cs="仿宋"/>
          <w:b/>
          <w:bCs/>
          <w:sz w:val="32"/>
          <w:szCs w:val="32"/>
        </w:rPr>
        <w:t xml:space="preserve">七、授予合同</w:t>
      </w:r>
      <w:bookmarkEnd w:id="181"/>
      <w:r/>
      <w:bookmarkEnd w:id="182"/>
      <w:bookmarkEnd w:id="183"/>
      <w:bookmarkEnd w:id="184"/>
      <w:r/>
    </w:p>
    <w:p>
      <w:pPr>
        <w:ind w:firstLine="562"/>
        <w:keepLines/>
        <w:keepNext/>
        <w:rPr>
          <w:rFonts w:ascii="仿宋" w:hAnsi="仿宋" w:eastAsia="仿宋" w:cs="仿宋"/>
          <w:b/>
          <w:bCs/>
          <w:sz w:val="28"/>
          <w:szCs w:val="28"/>
        </w:rPr>
        <w:outlineLvl w:val="3"/>
      </w:pPr>
      <w:r/>
      <w:bookmarkStart w:id="185" w:name="_Toc513029237"/>
      <w:r/>
      <w:bookmarkStart w:id="186" w:name="_Toc20823309"/>
      <w:r/>
      <w:bookmarkStart w:id="187" w:name="_Toc16938553"/>
      <w:r>
        <w:rPr>
          <w:rFonts w:hint="eastAsia" w:ascii="仿宋" w:hAnsi="仿宋" w:eastAsia="仿宋" w:cs="仿宋"/>
          <w:b/>
          <w:bCs/>
          <w:sz w:val="28"/>
          <w:szCs w:val="28"/>
        </w:rPr>
        <w:t xml:space="preserve">31. 签订合同</w:t>
      </w:r>
      <w:r/>
    </w:p>
    <w:p>
      <w:pPr>
        <w:ind w:firstLine="600"/>
        <w:spacing w:line="480" w:lineRule="exact"/>
        <w:rPr>
          <w:rFonts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交易中心和采购人各提供一份纸质版响应文件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5"/>
      <w:bookmarkEnd w:id="186"/>
      <w:bookmarkEnd w:id="187"/>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33.1根据《关于深入开展南通市政府采购线上合同信用融资工作的通知》（通财购</w:t>
      </w:r>
      <w:r>
        <w:rPr>
          <w:rFonts w:hint="eastAsia" w:ascii="仿宋" w:hAnsi="仿宋" w:eastAsia="仿宋" w:cs="仿宋"/>
          <w:color w:val="ff0000"/>
          <w:sz w:val="24"/>
          <w:szCs w:val="24"/>
        </w:rPr>
        <w:t xml:space="preserve">〔2022〕68</w:t>
      </w:r>
      <w:r>
        <w:rPr>
          <w:rFonts w:hint="eastAsia" w:ascii="仿宋" w:hAnsi="仿宋" w:eastAsia="仿宋" w:cs="仿宋"/>
          <w:sz w:val="24"/>
          <w:szCs w:val="24"/>
        </w:rPr>
        <w:t xml:space="preserve">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2640"/>
        <w:keepNext/>
        <w:rPr>
          <w:rFonts w:ascii="仿宋" w:hAnsi="仿宋" w:eastAsia="仿宋" w:cs="仿宋"/>
          <w:bCs/>
          <w:sz w:val="44"/>
          <w:szCs w:val="28"/>
        </w:rPr>
        <w:outlineLvl w:val="0"/>
      </w:pPr>
      <w:r>
        <w:rPr>
          <w:rFonts w:hint="eastAsia" w:ascii="仿宋" w:hAnsi="仿宋" w:eastAsia="仿宋" w:cs="仿宋"/>
          <w:bCs/>
          <w:sz w:val="44"/>
          <w:szCs w:val="28"/>
        </w:rPr>
        <w:br w:type="page" w:clear="all"/>
      </w:r>
      <w:bookmarkStart w:id="188" w:name="_Toc20527"/>
      <w:r/>
      <w:bookmarkStart w:id="189" w:name="_Toc9490"/>
      <w:r/>
      <w:bookmarkStart w:id="190" w:name="_Toc23575"/>
      <w:r>
        <w:rPr>
          <w:rFonts w:hint="eastAsia" w:ascii="仿宋" w:hAnsi="仿宋" w:eastAsia="仿宋" w:cs="仿宋"/>
          <w:b/>
          <w:sz w:val="44"/>
          <w:szCs w:val="28"/>
        </w:rPr>
        <w:t xml:space="preserve">第三章  合同</w:t>
      </w:r>
      <w:bookmarkEnd w:id="60"/>
      <w:r/>
      <w:bookmarkEnd w:id="61"/>
      <w:r/>
      <w:bookmarkEnd w:id="62"/>
      <w:r/>
      <w:bookmarkEnd w:id="63"/>
      <w:r/>
      <w:bookmarkEnd w:id="64"/>
      <w:r>
        <w:rPr>
          <w:rFonts w:hint="eastAsia" w:ascii="仿宋" w:hAnsi="仿宋" w:eastAsia="仿宋" w:cs="仿宋"/>
          <w:b/>
          <w:sz w:val="44"/>
          <w:szCs w:val="28"/>
        </w:rPr>
        <w:t xml:space="preserve">文本</w:t>
      </w:r>
      <w:bookmarkEnd w:id="188"/>
      <w:r/>
      <w:bookmarkEnd w:id="189"/>
      <w:r/>
      <w:bookmarkEnd w:id="190"/>
      <w:r/>
      <w:r/>
    </w:p>
    <w:p>
      <w:pPr>
        <w:ind w:firstLine="480"/>
        <w:spacing w:line="500" w:lineRule="exact"/>
        <w:rPr>
          <w:rFonts w:ascii="仿宋" w:hAnsi="仿宋" w:eastAsia="仿宋" w:cs="仿宋"/>
          <w:b/>
          <w:sz w:val="24"/>
          <w:szCs w:val="21"/>
          <w:highlight w:val="cyan"/>
        </w:rPr>
      </w:pPr>
      <w:r/>
      <w:bookmarkStart w:id="191" w:name="_Toc20823315"/>
      <w:r/>
      <w:bookmarkStart w:id="192" w:name="_Toc513029243"/>
      <w:r/>
      <w:bookmarkStart w:id="193" w:name="_Toc16938559"/>
      <w:r>
        <w:rPr>
          <w:rFonts w:hint="eastAsia" w:ascii="仿宋" w:hAnsi="仿宋" w:eastAsia="仿宋" w:cs="仿宋"/>
          <w:bCs/>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sz w:val="24"/>
          <w:szCs w:val="21"/>
        </w:rPr>
      </w:pPr>
      <w:r>
        <w:rPr>
          <w:rFonts w:ascii="仿宋" w:hAnsi="仿宋" w:eastAsia="仿宋" w:cs="仿宋"/>
          <w:bCs/>
          <w:sz w:val="24"/>
          <w:szCs w:val="21"/>
        </w:rPr>
      </w:r>
      <w:r/>
    </w:p>
    <w:p>
      <w:pPr>
        <w:jc w:val="center"/>
        <w:spacing w:before="145" w:after="145" w:line="500" w:lineRule="exact"/>
        <w:rPr>
          <w:rFonts w:ascii="仿宋" w:hAnsi="仿宋" w:eastAsia="仿宋" w:cs="仿宋"/>
          <w:b/>
          <w:bCs/>
          <w:sz w:val="32"/>
          <w:szCs w:val="32"/>
        </w:rPr>
        <w:outlineLvl w:val="0"/>
      </w:pPr>
      <w:r/>
      <w:bookmarkStart w:id="194" w:name="_Toc23391"/>
      <w:r/>
      <w:bookmarkStart w:id="195" w:name="_Toc6917"/>
      <w:r/>
      <w:bookmarkStart w:id="196" w:name="_Toc22069"/>
      <w:r>
        <w:rPr>
          <w:rFonts w:hint="eastAsia" w:ascii="仿宋" w:hAnsi="仿宋" w:eastAsia="仿宋" w:cs="仿宋"/>
          <w:b/>
          <w:bCs/>
          <w:sz w:val="32"/>
          <w:szCs w:val="32"/>
        </w:rPr>
        <w:t xml:space="preserve">江苏省政府采购合同（合同编号）</w:t>
      </w:r>
      <w:bookmarkEnd w:id="194"/>
      <w:r/>
      <w:bookmarkEnd w:id="195"/>
      <w:r/>
      <w:bookmarkEnd w:id="196"/>
      <w:r/>
      <w:r/>
    </w:p>
    <w:p>
      <w:pPr>
        <w:spacing w:before="120" w:after="120"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u w:val="single"/>
        </w:rPr>
        <w:t xml:space="preserve">如东县“苏服办”APP旗舰店改造项目   </w:t>
      </w:r>
      <w:r>
        <w:rPr>
          <w:rFonts w:hint="eastAsia" w:ascii="仿宋" w:hAnsi="仿宋" w:eastAsia="仿宋" w:cs="仿宋"/>
          <w:sz w:val="24"/>
          <w:szCs w:val="24"/>
          <w:highlight w:val="none"/>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甲方：（买方）如东县数据局</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 履行地点：如东县数据局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元作为本合同的履约保证金。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6.2合同履行结束后，甲方应及时退还交纳的履约保证金。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6.2.1履约保证金退还方式：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6.2.4发生以下情况的，履约保证金不予退还或部分退还：</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6.2.4.1 签订合同后，乙方不履行合同义务的，甲方有权全额扣除履约保证金，全额不予退还，同时甲方亦有权终止合同，乙方还须承担相应的法律赔偿责任。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spacing w:before="120" w:after="120" w:line="500" w:lineRule="exact"/>
        <w:rPr>
          <w:rFonts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480"/>
        <w:spacing w:line="360" w:lineRule="auto"/>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 xml:space="preserve">成交供应商应在合同签订之前，向采购人提交符合要求的履约保函。</w:t>
      </w:r>
      <w:r/>
    </w:p>
    <w:p>
      <w:pPr>
        <w:ind w:firstLine="480"/>
        <w:spacing w:line="360" w:lineRule="auto"/>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 xml:space="preserve">本合同自双方法定代表人或授权代表签字并加盖公章之日起生效。生效后15个自然日内，成交供应商应向采购人提交预付款申请函。采购人审核无误后，支付合同金额40%的预付款。</w:t>
      </w:r>
      <w:r/>
    </w:p>
    <w:p>
      <w:pPr>
        <w:ind w:firstLine="480"/>
        <w:spacing w:line="360" w:lineRule="auto"/>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 xml:space="preserve">成交供应商完成系统开发工作后，应向采购人提交系统验收申请及完整的验收资料。采购人在接到申请后，组织双方技术人员依据合同约定的技术标准和功能要求进行验收。验收合格的，采购人支付至合同总金额的90%。若验收不合格，成交供应商应在采购人规定的时间内完成整改并重新提交验收。</w:t>
      </w:r>
      <w:r/>
    </w:p>
    <w:p>
      <w:pPr>
        <w:ind w:firstLine="480"/>
        <w:spacing w:line="360" w:lineRule="auto"/>
        <w:rPr>
          <w:rFonts w:ascii="仿宋" w:hAnsi="仿宋" w:eastAsia="仿宋" w:cs="仿宋"/>
          <w:sz w:val="24"/>
          <w:szCs w:val="24"/>
          <w:highlight w:val="cyan"/>
        </w:rPr>
      </w:pPr>
      <w:r>
        <w:rPr>
          <w:rFonts w:hint="eastAsia" w:ascii="仿宋" w:hAnsi="仿宋" w:eastAsia="仿宋" w:cs="仿宋"/>
          <w:i w:val="0"/>
          <w:iCs w:val="0"/>
          <w:sz w:val="24"/>
          <w:szCs w:val="24"/>
          <w:u w:val="none"/>
        </w:rPr>
        <w:t xml:space="preserve">系统自验收合格之日起，进入为期1年的免费运维服务期。免费运维服务期满，如成交供应商未发生质量及售后责任问题，采购人支付合同金额10%的尾款。</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十、项目验收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10.1 甲方依法组织履约验收工作。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10.4 如有必要，甲方邀请参加本项目的其他供应商或第三方专业机构及专家参与验收，相关意见将作为验收书的参考资料。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 xml:space="preserve">《中华人民共和国民法典》</w:t>
      </w:r>
      <w:r>
        <w:rPr>
          <w:rFonts w:hint="eastAsia" w:ascii="仿宋" w:hAnsi="仿宋" w:eastAsia="仿宋" w:cs="仿宋"/>
          <w:sz w:val="24"/>
          <w:szCs w:val="24"/>
        </w:rPr>
        <w:t xml:space="preserve">。乙方在履约过程中有政府采购法律法规规定的违法违规情形的,甲方将及时报告本级财政部门。</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十一、违约责任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12.1甲方无正当理由拒绝接受乙方提供的合同标的的，甲方向乙方偿付拒绝接受合同价款总值</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12.2 甲方无故逾期验收和办理合同款项支付手续的,甲方应按逾期付款总额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12.3 乙方逾期交付合同标的的，乙方应按逾期交付合同总额每日</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向甲方支付违约金，由甲方从待付合同款项中扣除。逾期超过约定日期</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的违约金，如造成甲方损失超过违约金的，超出部分由乙方继续承担赔偿责任。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十二、不可抗力事件处理</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13.1 在合同有效期内，任何一方因不可抗力事件导致不能履行合同，则合同履行期可延长，其延长期与不可抗力影响期相同。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13.2 不可抗力事件发生后，应立即通知对方，并寄送有关权威机构出具的证明。</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13.3 不可抗力事件延续</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十三、解决争议的方法</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14.1双方在签订、履行合同中所发生的一切争议，应通过友好协商解决。如协商不成，由甲方住所地人民法院管辖。</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十四、合同生效及其它</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15.1 合同经双方法定代表人或授权委托代表人签字并加盖单位公章后生效。</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15.2本合同未尽事宜，遵照中华人民共和国现行法律法规有关条文执行。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15.3 本合同正本一式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份，具有同等法律效力。</w:t>
      </w:r>
      <w:r/>
    </w:p>
    <w:p>
      <w:pPr>
        <w:ind w:left="480" w:hanging="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  </w:t>
      </w:r>
      <w:r/>
    </w:p>
    <w:p>
      <w:pPr>
        <w:ind w:left="480" w:hanging="480"/>
        <w:spacing w:before="120" w:after="120" w:line="500" w:lineRule="exact"/>
        <w:rPr>
          <w:rFonts w:ascii="仿宋" w:hAnsi="仿宋" w:eastAsia="仿宋" w:cs="仿宋"/>
          <w:sz w:val="24"/>
          <w:szCs w:val="24"/>
        </w:rPr>
      </w:pPr>
      <w:r>
        <w:rPr>
          <w:rFonts w:ascii="仿宋" w:hAnsi="仿宋" w:eastAsia="仿宋" w:cs="仿宋"/>
          <w:sz w:val="24"/>
          <w:szCs w:val="24"/>
        </w:rPr>
      </w:r>
      <w:r/>
    </w:p>
    <w:p>
      <w:pPr>
        <w:spacing w:before="120" w:after="120" w:line="0" w:lineRule="atLeast"/>
        <w:rPr>
          <w:rFonts w:ascii="仿宋" w:hAnsi="仿宋" w:eastAsia="仿宋" w:cs="仿宋"/>
          <w:sz w:val="24"/>
          <w:szCs w:val="24"/>
        </w:rPr>
      </w:pPr>
      <w:r>
        <w:rPr>
          <w:rFonts w:ascii="仿宋" w:hAnsi="仿宋" w:eastAsia="仿宋" w:cs="仿宋"/>
          <w:sz w:val="24"/>
          <w:szCs w:val="24"/>
        </w:rPr>
      </w:r>
      <w:r/>
    </w:p>
    <w:p>
      <w:pPr>
        <w:ind w:left="479" w:hanging="24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bookmarkEnd w:id="191"/>
      <w:bookmarkEnd w:id="192"/>
      <w:bookmarkEnd w:id="193"/>
      <w:r/>
    </w:p>
    <w:p>
      <w:pPr>
        <w:jc w:val="center"/>
        <w:spacing w:before="120" w:after="120" w:line="0" w:lineRule="atLeast"/>
        <w:rPr>
          <w:rFonts w:ascii="仿宋" w:hAnsi="仿宋" w:eastAsia="仿宋" w:cs="仿宋"/>
          <w:b/>
          <w:sz w:val="44"/>
          <w:szCs w:val="21"/>
        </w:rPr>
        <w:outlineLvl w:val="0"/>
      </w:pPr>
      <w:r/>
      <w:bookmarkStart w:id="197" w:name="_Hlt16619369"/>
      <w:r/>
      <w:bookmarkEnd w:id="197"/>
      <w:r/>
      <w:bookmarkStart w:id="198" w:name="_Hlt16619350"/>
      <w:r/>
      <w:bookmarkStart w:id="199" w:name="_Toc16938590"/>
      <w:r/>
      <w:bookmarkStart w:id="200" w:name="_Toc120614244"/>
      <w:r/>
      <w:bookmarkStart w:id="201" w:name="_Toc20823346"/>
      <w:r/>
      <w:bookmarkStart w:id="202" w:name="_Toc462564139"/>
      <w:r/>
      <w:bookmarkStart w:id="203" w:name="_Toc479757211"/>
      <w:r>
        <w:rPr>
          <w:rFonts w:hint="eastAsia" w:ascii="仿宋" w:hAnsi="仿宋" w:eastAsia="仿宋" w:cs="仿宋"/>
          <w:bCs/>
          <w:sz w:val="24"/>
          <w:szCs w:val="24"/>
        </w:rPr>
        <w:br w:type="page" w:clear="all"/>
      </w:r>
      <w:bookmarkStart w:id="204" w:name="_Toc16952"/>
      <w:r/>
      <w:bookmarkStart w:id="205" w:name="_Toc20693"/>
      <w:r/>
      <w:bookmarkStart w:id="206" w:name="_Toc14539"/>
      <w:r>
        <w:rPr>
          <w:rFonts w:hint="eastAsia" w:ascii="仿宋" w:hAnsi="仿宋" w:eastAsia="仿宋" w:cs="仿宋"/>
          <w:b/>
          <w:sz w:val="44"/>
          <w:szCs w:val="21"/>
        </w:rPr>
        <w:t xml:space="preserve">第</w:t>
      </w:r>
      <w:bookmarkEnd w:id="198"/>
      <w:r>
        <w:rPr>
          <w:rFonts w:hint="eastAsia" w:ascii="仿宋" w:hAnsi="仿宋" w:eastAsia="仿宋" w:cs="仿宋"/>
          <w:b/>
          <w:sz w:val="44"/>
          <w:szCs w:val="21"/>
        </w:rPr>
        <w:t xml:space="preserve">四章 采购需求</w:t>
      </w:r>
      <w:bookmarkEnd w:id="199"/>
      <w:r/>
      <w:bookmarkEnd w:id="200"/>
      <w:r/>
      <w:bookmarkEnd w:id="201"/>
      <w:r/>
      <w:bookmarkEnd w:id="204"/>
      <w:r/>
      <w:bookmarkEnd w:id="205"/>
      <w:r/>
      <w:bookmarkEnd w:id="206"/>
      <w:r/>
      <w:bookmarkStart w:id="207" w:name="_Toc49090575"/>
      <w:r/>
      <w:bookmarkStart w:id="208" w:name="_Toc26554093"/>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供应商在制作响应文件时仔细研究项目需求说明。项目需求包括技术要求和商务要求:</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
          <w:i/>
          <w:iCs/>
          <w:sz w:val="28"/>
          <w:szCs w:val="28"/>
        </w:rPr>
        <w:t xml:space="preserve">。</w:t>
      </w:r>
      <w:r/>
    </w:p>
    <w:p>
      <w:pPr>
        <w:spacing w:line="500" w:lineRule="exact"/>
        <w:rPr>
          <w:rFonts w:ascii="仿宋" w:hAnsi="仿宋" w:eastAsia="仿宋" w:cs="仿宋"/>
          <w:bCs/>
          <w:sz w:val="24"/>
          <w:szCs w:val="24"/>
        </w:rPr>
      </w:pPr>
      <w:r>
        <w:rPr>
          <w:rFonts w:ascii="仿宋" w:hAnsi="仿宋" w:eastAsia="仿宋" w:cs="仿宋"/>
          <w:bCs/>
          <w:sz w:val="24"/>
          <w:szCs w:val="24"/>
        </w:rPr>
      </w:r>
      <w:r/>
    </w:p>
    <w:p>
      <w:pPr>
        <w:spacing w:line="500" w:lineRule="exact"/>
        <w:rPr>
          <w:rFonts w:ascii="仿宋" w:hAnsi="仿宋" w:eastAsia="仿宋" w:cs="仿宋"/>
          <w:sz w:val="28"/>
          <w:szCs w:val="28"/>
        </w:rPr>
      </w:pPr>
      <w:r>
        <w:rPr>
          <w:rFonts w:hint="eastAsia" w:ascii="仿宋" w:hAnsi="仿宋" w:eastAsia="仿宋" w:cs="仿宋"/>
          <w:b/>
          <w:bCs/>
          <w:sz w:val="32"/>
          <w:szCs w:val="32"/>
        </w:rPr>
        <w:t xml:space="preserve">一、其内容包含：</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（一）采购标的需实现的功能或者目标，以及为落实政府采购政策需满足的要求；</w:t>
      </w:r>
      <w:r/>
    </w:p>
    <w:p>
      <w:pPr>
        <w:ind w:firstLine="480"/>
        <w:spacing w:line="500" w:lineRule="exact"/>
        <w:rPr>
          <w:rFonts w:ascii="仿宋" w:hAnsi="仿宋" w:eastAsia="仿宋" w:cs="仿宋"/>
          <w:b/>
          <w:bCs/>
          <w:sz w:val="24"/>
          <w:szCs w:val="24"/>
        </w:rPr>
      </w:pPr>
      <w:r>
        <w:rPr>
          <w:rStyle w:val="675"/>
          <w:rFonts w:hint="eastAsia" w:ascii="仿宋" w:hAnsi="仿宋" w:eastAsia="仿宋" w:cs="仿宋"/>
          <w:color w:val="000000" w:themeColor="text1"/>
          <w:sz w:val="24"/>
          <w:szCs w:val="24"/>
          <w14:textFill>
            <w14:solidFill>
              <w14:schemeClr w14:val="tx1"/>
            </w14:solidFill>
          </w14:textFill>
        </w:rPr>
        <w:t xml:space="preserve">本项目旨在打造具有如东本地文化特色的移动端政务服务体系，在如东移动端旗舰店界面设计上，融入如东本土文化元素，打造简洁明快、特色鲜明的移动端界面，遵循“界面友好、清晰明确、便捷高效、统一稳定”原则，减少用户输入成本，优化触控热区，尤其针对老年群体开发老年版</w:t>
      </w:r>
      <w:r>
        <w:rPr>
          <w:rStyle w:val="675"/>
          <w:rFonts w:hint="eastAsia" w:ascii="仿宋" w:hAnsi="仿宋" w:eastAsia="仿宋" w:cs="仿宋"/>
          <w:color w:val="000000" w:themeColor="text1"/>
          <w:sz w:val="24"/>
          <w:szCs w:val="24"/>
          <w14:textFill>
            <w14:solidFill>
              <w14:schemeClr w14:val="tx1"/>
            </w14:solidFill>
          </w14:textFill>
        </w:rPr>
        <w:t xml:space="preserve">，采用“大字模式+语音检索”，解决其操作难题。通过开发“大众版+老年版”双模式，精准适配不同用户群体需求，同步建设 APP端、支付宝小程序端及鸿蒙系统适配版本，实现“一端开发，多端运行”，对接“南通百通”用户体系，达成多端用户身份互信与单点登录。梳理未在线办理事项，推动更多政务服务“掌上办”，移植“如易办”小程序功能拓展线上服务场景；通过“专区服务”集成企业电子印章等功能，优化跨部门协同，压缩办事时间。此外，借助“苏信通”消息中心主动推送信息，完善用户反馈体系，形成服务优化闭环，全面提升政务服务效率和质量。</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（二）采购标的需执行的国家相关标准、行业标准、地方标准或者其他标准、规范；</w:t>
      </w:r>
      <w:r/>
    </w:p>
    <w:p>
      <w:pPr>
        <w:ind w:firstLine="480"/>
        <w:spacing w:line="500" w:lineRule="exact"/>
        <w:rPr>
          <w:rFonts w:ascii="仿宋" w:hAnsi="仿宋" w:eastAsia="仿宋" w:cs="仿宋"/>
          <w:b/>
          <w:bCs/>
          <w:sz w:val="24"/>
          <w:szCs w:val="24"/>
        </w:rPr>
      </w:pPr>
      <w:r>
        <w:rPr>
          <w:rStyle w:val="675"/>
          <w:rFonts w:hint="eastAsia" w:ascii="仿宋" w:hAnsi="仿宋" w:eastAsia="仿宋" w:cs="仿宋"/>
          <w:color w:val="000000" w:themeColor="text1"/>
          <w:sz w:val="24"/>
          <w:szCs w:val="24"/>
          <w14:textFill>
            <w14:solidFill>
              <w14:schemeClr w14:val="tx1"/>
            </w14:solidFill>
          </w14:textFill>
        </w:rPr>
        <w:t xml:space="preserve">深入推进江苏省《关于加快“苏服办”总门户集成推进政务服务条块统合工作的通知》（苏协调办〔2022〕5 号）的要求，实现政务服务事项高标准“一网通办”，做到“一入口、好办事、管全程”，线上好办、易办。</w:t>
      </w:r>
      <w:r>
        <w:rPr>
          <w:rFonts w:hint="eastAsia" w:ascii="仿宋" w:hAnsi="仿宋" w:eastAsia="仿宋" w:cs="仿宋"/>
          <w:sz w:val="24"/>
          <w:szCs w:val="24"/>
        </w:rPr>
        <w:t xml:space="preserve">通过改版“苏服办”APP如东旗舰店、建设支付宝小程序、完成鸿蒙系统适配、移植现有功能模块、实现多端用户体系对接等方式，构建统一、便捷、智能的政务服务平台，提升服务覆盖面和用户体验。</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（三）采购标的需满足的质量、安全、技术规格、物理特性等要求；</w:t>
      </w:r>
      <w:r/>
    </w:p>
    <w:p>
      <w:pPr>
        <w:ind w:firstLine="480"/>
        <w:spacing w:line="360" w:lineRule="auto"/>
        <w:rPr>
          <w:rStyle w:val="675"/>
          <w:rFonts w:ascii="仿宋" w:hAnsi="仿宋" w:eastAsia="仿宋" w:cs="仿宋"/>
          <w:color w:val="000000" w:themeColor="text1"/>
          <w:sz w:val="24"/>
          <w:szCs w:val="24"/>
          <w14:textFill>
            <w14:solidFill>
              <w14:schemeClr w14:val="tx1"/>
            </w14:solidFill>
          </w14:textFill>
        </w:rPr>
      </w:pPr>
      <w:r>
        <w:rPr>
          <w:rStyle w:val="675"/>
          <w:rFonts w:hint="eastAsia" w:ascii="仿宋" w:hAnsi="仿宋" w:eastAsia="仿宋" w:cs="仿宋"/>
          <w:color w:val="000000" w:themeColor="text1"/>
          <w:sz w:val="24"/>
          <w:szCs w:val="24"/>
          <w14:textFill>
            <w14:solidFill>
              <w14:schemeClr w14:val="tx1"/>
            </w14:solidFill>
          </w14:textFill>
        </w:rPr>
        <w:t xml:space="preserve">本项目的建设内容以构建“一体多端、数据互通、服务融合、体验一致”的如东县移动端政务服务体系为核心目标，进行系统性的规划与实施。一是建设"苏服办"APP如东旗舰店改版，通过界面重构、功能优化和特色专区建设，打造具有如东本地特色的双模式服务门户，全面提升用户体验和服务效能。二是建设移动端应用接入，通过本地查询应用开发和省市级应用下沉，构建覆盖个人与法人全生命周期办事场景的服务矩阵，计划接入与下沉不低于80项政务服务应用。三是建设支付宝小程序服务端，基于"苏服办"支付宝小程序框架，开发如东</w:t>
      </w:r>
      <w:r>
        <w:rPr>
          <w:rStyle w:val="675"/>
          <w:rFonts w:hint="eastAsia" w:ascii="仿宋" w:hAnsi="仿宋" w:eastAsia="仿宋" w:cs="仿宋"/>
          <w:color w:val="000000" w:themeColor="text1"/>
          <w:sz w:val="24"/>
          <w:szCs w:val="24"/>
          <w14:textFill>
            <w14:solidFill>
              <w14:schemeClr w14:val="tx1"/>
            </w14:solidFill>
          </w14:textFill>
        </w:rPr>
        <w:t xml:space="preserve">县政务服务小程序，实现与APP端服务同步、用户体系互通。四是建设鸿蒙系统适配版本，基于江苏省低代码平台完成如东旗舰店的鸿蒙端适配改造，确保在鸿蒙系统上页面正常展示、功能完整运行。五是建设功能移植模块，将"如易办"小程序群众侧功能完整移植至"苏服办"APP与"南通百通"APP，实现服务内容统一、用户体验一致。六是建设小程序跳转通道，在"南通百通"微信小程序中设置跳转链接，实现向"如意办"微信小程序的平滑跳转和单点登录。七是系统对接，完成与省级统一身份认证、智能检索、用户空间及消息中心等核心公共能力的全面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 “苏服办”APP如东旗舰店改版建设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 页面设计与用户体验优化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页面设计需融入如东本地文化元素，整体风格简洁明快、特色鲜明，符合“界面友好、清晰明确、便捷高效、统一稳定”的设计原则。应提供大众版与老年版双模式，支持用户一键切换，系统自动记录模式选择，并在下次启动时保持当前模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 旗舰店核心功能建设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功能建设包括情景切换、语音检索、常用服务（医保、养老金、公积金、亮证等）、首页订阅、公告模块、政务资讯专栏及特色专栏（如生活缴费、政务地图、老年人专区）。语音检索需基于省级平台统一检索能力，支持语音输入与识别；首页订阅需实现“千人千面”的智能推荐；公告模块需与省级通知公告同步并支持个性化展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1.1.3 老年人服务专区建设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老年人专区应提供大字版本、语音找服务、常用服务推荐办、爱心专窗帮你办、大厅服务预约办及服务评价功能，切实解决老年用户“找不到、办不了、用不好”的问题。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 移动端应用接入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1.2.1 本地查询应用开发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通过对本地服务事项的梳理，参照省政务服务网标准应用清单，开发查询类应用，设计访问页面、查询表单及内容展示形式，推动更多服务“能上尽上”。</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1.2.2 省市级应用下沉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从省级平台下沉不少于80项高频服务应用至如东旗舰店，涵盖教育、科技、民政、人社、医疗、税务等多个部门，提升如东旗舰店的服务丰富度和用户访问量。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 支付宝小程序建设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1.3.1 小程序框架与功能建设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基于“苏服办”支付宝小程序总框架，原生开发如东县政务服务旗舰店小程序端，实现与APP端服务一致。重点围绕个人用户提供省、市、县三级高频服务的查询与办理功能。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1.3.2 用户体系与体验整合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完成支付宝小程序用户体系与江苏省统一身份认证平台的对接，实现用户互信与单点登录，确保用户交互体验一致、操作便捷。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 苏服办旗舰店鸿蒙改造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1.4.1 多端适配与页面开发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基于江苏省低代码平台与移动多端平台，开展鸿蒙端页面设计、功能规划、前端框架改造、业务功能组件适配及应用容器适配工作，确保在鸿蒙系统上页面正常展示、功能完整运行。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1.4.2 服务一致性保障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确保鸿蒙端与iOS、Android双端在服务内容、功能体验上保持一致，包括帮办代办、政务地图、企业电子印章等特色服务。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 功能移植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1.5.1 “苏服办”APP功能移植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将“如易办”小程序群众侧功能完整移植至“苏服办”APP，包括用户体系接入、通知公告、事项搜索、楼层导航、窗口电话、样表查询、排队信息、特色服务（AI智能绘图、远程导办、行政指导申请）、部门服务、街镇服务、个人服务、法人服务及“倾听群众、服务群众”相关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1.5.2 “南通百通”APP功能移植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同步将“如易办”小程序群众侧功能移植至“南通百通”APP，确保两端的服务内容、功能模块及用户体验保持一致。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 小程序接入挂载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在“南通百通”微信小程序中设置跳转链接，用户点击后可跳转至“如意办”微信小程序，并实现用户体系对接与单点登录，保障用户在跳转过程中无需重复登录，实现服务无缝切换。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 系统对接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1.7.1 统一身份认证对接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按照江苏省统一身份认证系统对接要求，完成如东政务服务平台与省级平台的对接，支持单点登录、用户信息同步等功能。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1.7.2 统一智能检索对接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将如东旗舰店数据索引库推送至省级智能检索系统，实现全省政务数据资源的统一检索与全覆盖。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1.7.3 统一用户空间对接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对接省级用户空间，逐步取消如东本地用户空间，实现全省办件信息的统一管理。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1.7.4 统一消息中心对接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对接省级“苏信通”消息中心，实现消息订阅、提醒与推送服务，包括公告、办件结果、政策动态等信息。</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（四）采购标的的数量、采购项目交付或者实施的时间和地点；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实施地点：如东县数据局</w:t>
      </w:r>
      <w:r/>
    </w:p>
    <w:p>
      <w:pPr>
        <w:ind w:firstLine="480"/>
        <w:spacing w:line="50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实施时间：从合同签订之日2个月内完成系统开发件集成对接、调试并上线运行。</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（五）采购标的需满足的服务标准、期限、效率等要求；</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质保期:</w:t>
      </w:r>
      <w:r>
        <w:rPr>
          <w:rFonts w:hint="eastAsia" w:ascii="仿宋" w:hAnsi="仿宋" w:eastAsia="仿宋" w:cs="仿宋"/>
          <w:i/>
          <w:iCs/>
          <w:sz w:val="24"/>
          <w:szCs w:val="24"/>
          <w:u w:val="single"/>
        </w:rPr>
        <w:t xml:space="preserve">本项目免费质保期为1年、在质保期内，成交供应商应严格按照以下服务要求，为采购人提供全面且优质的质保服务。涵盖范围：本次采购项目清单内的所有内容，均在质保服务范围内。</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旗舰店运维服务</w:t>
      </w:r>
      <w:r>
        <w:rPr>
          <w:rFonts w:hint="eastAsia" w:ascii="仿宋" w:hAnsi="仿宋" w:eastAsia="仿宋" w:cs="仿宋"/>
          <w:i/>
          <w:iCs/>
          <w:sz w:val="24"/>
          <w:szCs w:val="24"/>
          <w:u w:val="single"/>
        </w:rPr>
        <w:t xml:space="preserve">：提供错误修复服务的指导和支持。不定期对现有产品进行性能优化。解决产品 BUG。节假日提供相关技术值班服务，专人远程值班响应。乙方承诺，在质保期内，针对硬件设备的维修服务，免收上门服务费、检测费以及工时费，包括节假日的紧急服务，确保采购人在任何时间遇到硬件问题，都无需额外支付人工相关费用。​</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免费升级与更新：</w:t>
      </w:r>
      <w:r>
        <w:rPr>
          <w:rFonts w:hint="eastAsia" w:ascii="仿宋" w:hAnsi="仿宋" w:eastAsia="仿宋" w:cs="仿宋"/>
          <w:i/>
          <w:iCs/>
          <w:sz w:val="24"/>
          <w:szCs w:val="24"/>
          <w:u w:val="single"/>
        </w:rPr>
        <w:t xml:space="preserve">成交供应商应及时为采购人提供软件的升级版本及更新补丁，包括但不限于功能升级、性能提升、安全漏洞修复等方面的更新。升级与更新服务应在新版本或补丁发布后的 1周内完成部署，确保采购人使用的软件始终处于最新且安全稳定的状态。在进行软件升级与更新前，成交供应商需提前向采购人提交详细的升级说明及操作指南，包括升级内容、可能对现有业务造成的影响及应对措施等，待采购人确认后方可实施。</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培训及服务响应：</w:t>
      </w:r>
      <w:r>
        <w:rPr>
          <w:rFonts w:hint="eastAsia" w:ascii="仿宋" w:hAnsi="仿宋" w:eastAsia="仿宋" w:cs="仿宋"/>
          <w:i/>
          <w:iCs/>
          <w:sz w:val="24"/>
          <w:szCs w:val="24"/>
          <w:u w:val="single"/>
        </w:rPr>
        <w:t xml:space="preserve">应制定详细的</w:t>
      </w:r>
      <w:r>
        <w:rPr>
          <w:rFonts w:hint="eastAsia" w:ascii="仿宋" w:hAnsi="仿宋" w:eastAsia="仿宋" w:cs="仿宋"/>
          <w:i/>
          <w:iCs/>
          <w:sz w:val="24"/>
          <w:szCs w:val="24"/>
          <w:u w:val="single"/>
          <w:lang w:val="zh-CN"/>
        </w:rPr>
        <w:t xml:space="preserve">服务实施及培训方案</w:t>
      </w:r>
      <w:r>
        <w:rPr>
          <w:rFonts w:hint="eastAsia" w:ascii="仿宋" w:hAnsi="仿宋" w:eastAsia="仿宋" w:cs="仿宋"/>
          <w:i/>
          <w:iCs/>
          <w:sz w:val="24"/>
          <w:szCs w:val="24"/>
          <w:u w:val="single"/>
        </w:rPr>
        <w:t xml:space="preserve">，提供 7*24 小时的技术支持和服务，30 分钟内响应，针对远程无法解决的重大质量故障 5 小时内现场响应，24 小时内解决故障；对于突发事件，应提供突发事件应急处理预案；应能提供现场或安全的远程诊断服务及时解决软件系统产生的各种问题；应能提供系统管理咨询服务解决使用过程中的各种疑难问题。对使用人员进行操作及相关技术培训，培训内容包含但不限于：培训计划、培训目标、培训师资力量、培训内容等。</w:t>
      </w:r>
      <w:r/>
    </w:p>
    <w:p>
      <w:pPr>
        <w:numPr>
          <w:ilvl w:val="0"/>
          <w:numId w:val="2"/>
        </w:num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采购标的的验收标准、方法、时间；</w:t>
      </w:r>
      <w:r/>
    </w:p>
    <w:p>
      <w:pPr>
        <w:ind w:firstLine="480"/>
        <w:spacing w:line="360" w:lineRule="auto"/>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本项目试运行期为1个月，期满后成交供应商应向采购人提交完整的试运行记录。若试运行期间系统运行正常并符合采购人要求，双方应在试运行结束后5个工作日内组织验收，验收地点在如东县数据局进行。</w:t>
      </w:r>
      <w:r/>
    </w:p>
    <w:p>
      <w:pPr>
        <w:ind w:firstLine="480"/>
        <w:spacing w:line="360" w:lineRule="auto"/>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验收由采购人组织相关专家，依据本合同、磋商文件、投标文件及采购人的具体要求，对成交供应商完成的工作情况进行评审。验收方案及资</w:t>
      </w:r>
      <w:r>
        <w:rPr>
          <w:rFonts w:hint="eastAsia" w:ascii="仿宋" w:hAnsi="仿宋" w:eastAsia="仿宋" w:cs="仿宋"/>
          <w:i/>
          <w:iCs/>
          <w:sz w:val="24"/>
          <w:szCs w:val="24"/>
          <w:u w:val="single"/>
          <w:lang w:val="en-US" w:eastAsia="zh-CN"/>
        </w:rPr>
        <w:t xml:space="preserve">料（含验收细则、文档清单，内容覆盖需求调研、软件设计、软件开发、系统测试、实施上线、运行维护等各阶段）须事先经采购人确认，并作为验收执行标准。若验收中发现系统功能、解决方案等未达到约定标准或性能指标，成交供应商须在采购人指定时间内完成整改，相关费用由成交供应商承担。项目通过验收后，双方应共同签署验收合格证书并加盖公章。此外，如因用户实际需求新增或系统升级导致软件功能与现有建设内容存在差异，成交供应商应根据采购人需求及时调整相关功能，以确保系统最终符合实际使用要求。验收阶段所涉及的全部费用均由成交供应商负责。</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500" w:lineRule="exact"/>
        <w:rPr>
          <w:rFonts w:ascii="仿宋" w:hAnsi="仿宋" w:eastAsia="仿宋" w:cs="仿宋"/>
          <w:b/>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123号)文件执行。</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500" w:lineRule="exact"/>
        <w:rPr>
          <w:rFonts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500" w:lineRule="exact"/>
        <w:rPr>
          <w:rFonts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500" w:lineRule="exact"/>
        <w:rPr>
          <w:rFonts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ind w:firstLine="482"/>
        <w:spacing w:line="50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（八）付款方式；</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成交供应商应在合同签订之前，向采购人提交符合要求的履约保函。</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本合同自双方法定代表人或授权代表签字并加盖公章之日起生效。生效后15个自然日内，成交供应商应向采购人提交预付款申请函。采购人审核无误后，支付合同金额40%的预付款。</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成交供应商完成系统开发工作后，应向采购人提交系统验收申请及完整的验收资料。采购人在接到申请后，组织双方技术人员依据合同约定的技术标准和功能要求进行验收。验收合格的，采购人支付至合同总金额的90%。若验收不合格，成交供应商应在采购人规定的时间内完成整改并重新提交验收。</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r>
      <w:r/>
    </w:p>
    <w:p>
      <w:pPr>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系统自验收合格之日起，进入为期1年的免费运维服务期。免费运维服务期满，如成交供应商未发生质量及售后责任问题，采购人支付合同金额10%的尾款。</w:t>
      </w:r>
      <w:r/>
    </w:p>
    <w:p>
      <w:pPr>
        <w:ind w:firstLine="482"/>
        <w:spacing w:line="50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（九）履约保证金；</w:t>
      </w:r>
      <w:r/>
    </w:p>
    <w:p>
      <w:pPr>
        <w:ind w:firstLine="480"/>
        <w:spacing w:after="120" w:line="500" w:lineRule="exact"/>
        <w:rPr>
          <w:rFonts w:ascii="仿宋" w:hAnsi="仿宋" w:eastAsia="仿宋" w:cs="仿宋"/>
          <w:i/>
          <w:iCs/>
          <w:sz w:val="24"/>
          <w:szCs w:val="24"/>
          <w:u w:val="single"/>
          <w:lang w:val="zh-CN"/>
        </w:rPr>
      </w:pPr>
      <w:r>
        <w:rPr>
          <w:rFonts w:hint="eastAsia" w:ascii="仿宋" w:hAnsi="仿宋" w:eastAsia="仿宋" w:cs="仿宋"/>
          <w:i/>
          <w:iCs/>
          <w:color w:val="000000"/>
          <w:sz w:val="24"/>
          <w:szCs w:val="24"/>
          <w:u w:val="single"/>
          <w:lang w:val="zh-CN"/>
        </w:rPr>
        <w:t xml:space="preserve">本项目成交后的履约保证金为项目成交价的</w:t>
      </w:r>
      <w:r>
        <w:rPr>
          <w:rFonts w:hint="eastAsia" w:ascii="仿宋" w:hAnsi="仿宋" w:eastAsia="仿宋" w:cs="仿宋"/>
          <w:i/>
          <w:iCs/>
          <w:color w:val="000000"/>
          <w:sz w:val="24"/>
          <w:szCs w:val="24"/>
          <w:u w:val="single"/>
        </w:rPr>
        <w:t xml:space="preserve">5</w:t>
      </w:r>
      <w:r>
        <w:rPr>
          <w:rFonts w:hint="eastAsia" w:ascii="仿宋" w:hAnsi="仿宋" w:eastAsia="仿宋" w:cs="仿宋"/>
          <w:i/>
          <w:iCs/>
          <w:color w:val="000000"/>
          <w:sz w:val="24"/>
          <w:szCs w:val="24"/>
          <w:u w:val="single"/>
          <w:lang w:val="zh-CN"/>
        </w:rPr>
        <w:t xml:space="preserve">%</w:t>
      </w:r>
      <w:r>
        <w:rPr>
          <w:rFonts w:hint="eastAsia" w:ascii="仿宋" w:hAnsi="仿宋" w:eastAsia="仿宋" w:cs="仿宋"/>
          <w:i/>
          <w:iCs/>
          <w:sz w:val="24"/>
          <w:szCs w:val="24"/>
          <w:u w:val="single"/>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2"/>
        <w:spacing w:line="50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（十）安全责任；</w:t>
      </w:r>
      <w:r/>
    </w:p>
    <w:p>
      <w:pPr>
        <w:ind w:firstLine="480"/>
        <w:spacing w:after="120"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80"/>
        <w:spacing w:line="500" w:lineRule="exact"/>
        <w:rPr>
          <w:rFonts w:ascii="仿宋" w:hAnsi="仿宋" w:eastAsia="仿宋" w:cs="仿宋"/>
          <w:sz w:val="24"/>
          <w:szCs w:val="21"/>
          <w:highlight w:val="yellow"/>
        </w:rPr>
      </w:pPr>
      <w:r>
        <w:rPr>
          <w:rFonts w:ascii="仿宋" w:hAnsi="仿宋" w:eastAsia="仿宋" w:cs="仿宋"/>
          <w:sz w:val="24"/>
          <w:szCs w:val="21"/>
          <w:highlight w:val="yellow"/>
        </w:rPr>
      </w:r>
      <w:r/>
    </w:p>
    <w:p>
      <w:pPr>
        <w:spacing w:line="500" w:lineRule="exact"/>
        <w:rPr>
          <w:rFonts w:ascii="仿宋" w:hAnsi="仿宋" w:eastAsia="仿宋" w:cs="仿宋"/>
          <w:sz w:val="24"/>
          <w:szCs w:val="24"/>
          <w:highlight w:val="yellow"/>
        </w:rPr>
      </w:pPr>
      <w:r>
        <w:rPr>
          <w:rFonts w:ascii="仿宋" w:hAnsi="仿宋" w:eastAsia="仿宋" w:cs="仿宋"/>
          <w:sz w:val="24"/>
          <w:szCs w:val="24"/>
          <w:highlight w:val="yellow"/>
        </w:rPr>
      </w:r>
      <w:r/>
    </w:p>
    <w:p>
      <w:pPr>
        <w:jc w:val="center"/>
        <w:keepNext/>
        <w:spacing w:line="500" w:lineRule="exact"/>
        <w:rPr>
          <w:rFonts w:ascii="仿宋" w:hAnsi="仿宋" w:eastAsia="仿宋" w:cs="仿宋"/>
          <w:b/>
          <w:sz w:val="44"/>
          <w:szCs w:val="28"/>
        </w:rPr>
        <w:outlineLvl w:val="0"/>
      </w:pPr>
      <w:r/>
      <w:bookmarkStart w:id="209" w:name="_Toc120614281"/>
      <w:r>
        <w:rPr>
          <w:rFonts w:hint="eastAsia" w:ascii="仿宋" w:hAnsi="仿宋" w:eastAsia="仿宋" w:cs="仿宋"/>
          <w:bCs/>
          <w:sz w:val="44"/>
          <w:szCs w:val="28"/>
        </w:rPr>
        <w:br w:type="page" w:clear="all"/>
      </w:r>
      <w:bookmarkStart w:id="210" w:name="_Toc20957"/>
      <w:r/>
      <w:bookmarkStart w:id="211" w:name="_Toc88"/>
      <w:r/>
      <w:bookmarkStart w:id="212" w:name="_Toc19886"/>
      <w:r>
        <w:rPr>
          <w:rFonts w:hint="eastAsia" w:ascii="仿宋" w:hAnsi="仿宋" w:eastAsia="仿宋" w:cs="仿宋"/>
          <w:b/>
          <w:sz w:val="44"/>
          <w:szCs w:val="28"/>
        </w:rPr>
        <w:t xml:space="preserve">第五章  评审方法与评审标准</w:t>
      </w:r>
      <w:bookmarkEnd w:id="210"/>
      <w:r/>
      <w:bookmarkEnd w:id="211"/>
      <w:r/>
      <w:bookmarkEnd w:id="212"/>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665"/>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665"/>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ascii="仿宋" w:hAnsi="仿宋" w:eastAsia="仿宋" w:cs="仿宋"/>
          <w:b/>
          <w:sz w:val="24"/>
          <w:szCs w:val="24"/>
          <w:highlight w:val="cyan"/>
        </w:rPr>
      </w:pPr>
      <w:r>
        <w:rPr>
          <w:rFonts w:hint="eastAsia" w:ascii="仿宋" w:hAnsi="仿宋" w:eastAsia="仿宋" w:cs="仿宋"/>
          <w:b/>
          <w:bCs/>
          <w:sz w:val="32"/>
          <w:szCs w:val="32"/>
        </w:rPr>
        <w:t xml:space="preserve">二、政府采购政策功能落实</w:t>
      </w:r>
      <w:r/>
    </w:p>
    <w:p>
      <w:pPr>
        <w:pStyle w:val="665"/>
        <w:ind w:firstLine="480"/>
        <w:jc w:val="left"/>
        <w:rPr>
          <w:rFonts w:ascii="仿宋" w:hAnsi="仿宋" w:eastAsia="仿宋" w:cs="仿宋"/>
          <w:sz w:val="24"/>
          <w:szCs w:val="24"/>
        </w:rPr>
      </w:pPr>
      <w:r>
        <w:rPr>
          <w:rFonts w:hint="eastAsia" w:ascii="仿宋" w:hAnsi="仿宋" w:eastAsia="仿宋" w:cs="仿宋"/>
          <w:sz w:val="24"/>
          <w:szCs w:val="24"/>
        </w:rPr>
        <w:t xml:space="preserve">1、小微型企业价格扣除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（1）本项目对小型和微型企业提供的服务给予10%的扣除价格，用扣除后的价格参与评审。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号）的规定提供相应的《中小企业声明函》。</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w:t>
      </w:r>
      <w:bookmarkStart w:id="213" w:name="OLE_LINK1"/>
      <w:r>
        <w:rPr>
          <w:rFonts w:hint="eastAsia" w:ascii="仿宋" w:hAnsi="仿宋" w:eastAsia="仿宋" w:cs="仿宋"/>
          <w:sz w:val="24"/>
          <w:szCs w:val="24"/>
        </w:rPr>
        <w:t xml:space="preserve">工信部联企业</w:t>
      </w:r>
      <w:r>
        <w:rPr>
          <w:rFonts w:hint="eastAsia" w:ascii="仿宋" w:hAnsi="仿宋" w:eastAsia="仿宋" w:cs="仿宋"/>
          <w:color w:val="ff0000"/>
          <w:sz w:val="24"/>
          <w:szCs w:val="24"/>
        </w:rPr>
        <w:t xml:space="preserve">〔2011〕300号</w:t>
      </w:r>
      <w:r>
        <w:rPr>
          <w:rFonts w:hint="eastAsia" w:ascii="仿宋" w:hAnsi="仿宋" w:eastAsia="仿宋" w:cs="仿宋"/>
          <w:sz w:val="24"/>
          <w:szCs w:val="24"/>
        </w:rPr>
        <w:t xml:space="preserve">）</w:t>
      </w:r>
      <w:bookmarkEnd w:id="213"/>
      <w:r>
        <w:rPr>
          <w:rFonts w:hint="eastAsia" w:ascii="仿宋" w:hAnsi="仿宋" w:eastAsia="仿宋" w:cs="仿宋"/>
          <w:sz w:val="24"/>
          <w:szCs w:val="24"/>
        </w:rPr>
        <w:t xml:space="preserve">文件规定自行填写。</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sz w:val="24"/>
          <w:szCs w:val="24"/>
        </w:rPr>
        <w:t xml:space="preserve">141号）。</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w:t>
      </w:r>
      <w:r>
        <w:rPr>
          <w:rFonts w:hint="eastAsia" w:ascii="仿宋" w:hAnsi="仿宋" w:eastAsia="仿宋" w:cs="仿宋"/>
          <w:color w:val="ff0000"/>
          <w:sz w:val="24"/>
          <w:szCs w:val="24"/>
        </w:rPr>
        <w:t xml:space="preserve">〔2014〕</w:t>
      </w:r>
      <w:r>
        <w:rPr>
          <w:rFonts w:hint="eastAsia" w:ascii="仿宋" w:hAnsi="仿宋" w:eastAsia="仿宋" w:cs="仿宋"/>
          <w:sz w:val="24"/>
          <w:szCs w:val="24"/>
        </w:rPr>
        <w:t xml:space="preserve">68号）。</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665"/>
        <w:ind w:firstLine="482"/>
        <w:rPr>
          <w:rFonts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665"/>
        <w:ind w:firstLine="480"/>
        <w:rPr>
          <w:rFonts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三、评审方法与评审标准</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tbl>
      <w:tblPr>
        <w:tblStyle w:val="655"/>
        <w:tblpPr w:horzAnchor="page" w:tblpX="1051" w:vertAnchor="text" w:tblpY="528" w:leftFromText="180" w:topFromText="0" w:rightFromText="180" w:bottomFromText="0"/>
        <w:tblW w:w="9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389"/>
        <w:gridCol w:w="792"/>
      </w:tblGrid>
      <w:tr>
        <w:trPr>
          <w:trHeight w:val="392"/>
          <w:tblHeader/>
        </w:trPr>
        <w:tc>
          <w:tcPr>
            <w:shd w:val="clear" w:color="auto" w:fill="bfbfbf"/>
            <w:tcW w:w="665"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序号</w:t>
            </w:r>
            <w:r/>
          </w:p>
        </w:tc>
        <w:tc>
          <w:tcPr>
            <w:shd w:val="clear" w:color="auto" w:fill="bfbfbf"/>
            <w:tcW w:w="1508"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评分因素</w:t>
            </w:r>
            <w:r/>
          </w:p>
        </w:tc>
        <w:tc>
          <w:tcPr>
            <w:gridSpan w:val="2"/>
            <w:shd w:val="clear" w:color="auto" w:fill="bfbfbf"/>
            <w:tcW w:w="6909"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评分标准</w:t>
            </w:r>
            <w:r/>
          </w:p>
        </w:tc>
        <w:tc>
          <w:tcPr>
            <w:shd w:val="clear" w:color="auto" w:fill="bfbfbf"/>
            <w:tcW w:w="792"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分值</w:t>
            </w:r>
            <w:r/>
          </w:p>
        </w:tc>
      </w:tr>
      <w:tr>
        <w:trPr>
          <w:trHeight w:val="640"/>
        </w:trPr>
        <w:tc>
          <w:tcPr>
            <w:tcW w:w="665"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w:t>
            </w:r>
            <w:r/>
          </w:p>
        </w:tc>
        <w:tc>
          <w:tcPr>
            <w:tcW w:w="1508"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价格分（10分）</w:t>
            </w:r>
            <w:r/>
          </w:p>
        </w:tc>
        <w:tc>
          <w:tcPr>
            <w:gridSpan w:val="2"/>
            <w:tcW w:w="6909" w:type="dxa"/>
            <w:vAlign w:val="center"/>
            <w:textDirection w:val="lrTb"/>
            <w:noWrap w:val="false"/>
          </w:tcPr>
          <w:p>
            <w:pPr>
              <w:jc w:val="left"/>
              <w:rPr>
                <w:rFonts w:ascii="仿宋" w:hAnsi="仿宋" w:eastAsia="仿宋" w:cs="仿宋"/>
                <w:color w:val="000000"/>
                <w:szCs w:val="21"/>
              </w:rPr>
            </w:pPr>
            <w:r>
              <w:rPr>
                <w:rFonts w:hint="eastAsia" w:ascii="仿宋" w:hAnsi="仿宋" w:eastAsia="仿宋" w:cs="仿宋"/>
                <w:color w:val="000000"/>
                <w:szCs w:val="21"/>
              </w:rPr>
              <w:t xml:space="preserve">价格分统一采用低价优先法计算，即满足磋商文件要求且最后报价最低的供应商的价格为磋商基准价，其价格分为满分。其他供应商的价格分统一按照下列公式计算：</w:t>
            </w:r>
            <w:r/>
          </w:p>
          <w:p>
            <w:pPr>
              <w:rPr>
                <w:rFonts w:ascii="仿宋" w:hAnsi="仿宋" w:eastAsia="仿宋" w:cs="仿宋"/>
                <w:sz w:val="22"/>
              </w:rPr>
            </w:pPr>
            <w:r>
              <w:rPr>
                <w:rFonts w:hint="eastAsia" w:ascii="仿宋" w:hAnsi="仿宋" w:eastAsia="仿宋" w:cs="仿宋"/>
                <w:color w:val="000000"/>
                <w:szCs w:val="21"/>
              </w:rPr>
              <w:t xml:space="preserve">磋商报价得分=（磋商基准价/最后磋商报价）×价格权值×100</w:t>
            </w:r>
            <w:r/>
          </w:p>
        </w:tc>
        <w:tc>
          <w:tcPr>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10分</w:t>
            </w:r>
            <w:r/>
          </w:p>
        </w:tc>
      </w:tr>
      <w:tr>
        <w:trPr>
          <w:trHeight w:val="683"/>
        </w:trPr>
        <w:tc>
          <w:tcPr>
            <w:tcW w:w="665"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rPr>
              <w:t xml:space="preserve">2</w:t>
            </w:r>
            <w:r/>
          </w:p>
        </w:tc>
        <w:tc>
          <w:tcPr>
            <w:tcW w:w="1508"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color w:val="000000"/>
                <w:sz w:val="22"/>
                <w:lang w:bidi="ar"/>
              </w:rPr>
              <w:t xml:space="preserve">技术部分（65分）</w:t>
            </w:r>
            <w:r/>
          </w:p>
        </w:tc>
        <w:tc>
          <w:tcPr>
            <w:shd w:val="clear" w:color="auto" w:fill="ffffff" w:themeFill="background1"/>
            <w:tcBorders>
              <w:bottom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项目需求分析方案</w:t>
            </w:r>
            <w:r/>
          </w:p>
          <w:p>
            <w:pPr>
              <w:jc w:val="center"/>
              <w:rPr>
                <w:rFonts w:ascii="仿宋" w:hAnsi="仿宋" w:eastAsia="仿宋" w:cs="仿宋"/>
                <w:color w:val="000000"/>
                <w:szCs w:val="21"/>
              </w:rPr>
            </w:pPr>
            <w:r>
              <w:rPr>
                <w:rFonts w:hint="eastAsia" w:ascii="仿宋" w:hAnsi="仿宋" w:eastAsia="仿宋" w:cs="仿宋"/>
                <w:color w:val="000000"/>
                <w:szCs w:val="21"/>
              </w:rPr>
              <w:t xml:space="preserve">（15分）</w:t>
            </w:r>
            <w:r/>
          </w:p>
        </w:tc>
        <w:tc>
          <w:tcPr>
            <w:shd w:val="clear" w:color="auto" w:fill="ffffff" w:themeFill="background1"/>
            <w:tcBorders>
              <w:left w:val="single" w:color="auto" w:sz="4" w:space="0"/>
              <w:bottom w:val="single" w:color="auto" w:sz="4" w:space="0"/>
            </w:tcBorders>
            <w:tcW w:w="5389" w:type="dxa"/>
            <w:vAlign w:val="center"/>
            <w:textDirection w:val="lrTb"/>
            <w:noWrap w:val="false"/>
          </w:tcPr>
          <w:p>
            <w:pPr>
              <w:pStyle w:val="656"/>
            </w:pPr>
            <w:r>
              <w:rPr>
                <w:rFonts w:hint="eastAsia" w:ascii="仿宋" w:hAnsi="仿宋" w:eastAsia="仿宋" w:cs="仿宋"/>
                <w:color w:val="000000"/>
                <w:sz w:val="21"/>
                <w:szCs w:val="21"/>
                <w:lang w:val="en-US" w:eastAsia="zh-CN" w:bidi="ar-SA"/>
              </w:rPr>
              <w:t xml:space="preserve">供应商提供的项目需求分析方案将依据以下量化标准进行评分：方案必须完整涵盖整体设计思路、功能需求分析、项目背景理解、项目文件要求四项核心要素。在此基础上，将根据各要素的关键指标情况进行综合评</w:t>
            </w:r>
            <w:r>
              <w:rPr>
                <w:rFonts w:hint="eastAsia" w:ascii="仿宋" w:hAnsi="仿宋" w:eastAsia="仿宋" w:cs="仿宋"/>
                <w:color w:val="000000"/>
                <w:sz w:val="21"/>
                <w:szCs w:val="21"/>
                <w:lang w:val="en-US" w:eastAsia="zh-CN" w:bidi="ar-SA"/>
              </w:rPr>
              <w:t xml:space="preserve">价：四项要素全部涵盖，且整体设计思路包含具体实施路径与步骤说明、功能需求分析明确列出关键功能点及其优先级、项目背景理解准确引用项目关联的背景信息与数据支撑、项目文件要求清晰列出交付物清单及具体格式规范，得15分；涵盖全部四项核心要素，但其中一项的关键指标说明不完整或不具体，或漏缺1项核心要素但其余三项的关键指标均完整的，得10分；漏缺2项核心要素，或虽涵盖全部要素但有两项的关键指标存在明显缺失或描述笼统的，得6分；仅涵盖1项核心要素，或所提供内容存在显著缺陷、关键信息严重缺失的，得1分；未提供方案的得0分。</w:t>
            </w:r>
            <w:r/>
          </w:p>
        </w:tc>
        <w:tc>
          <w:tcPr>
            <w:tcBorders>
              <w:bottom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15分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项目建设</w:t>
            </w:r>
            <w:r>
              <w:rPr>
                <w:rFonts w:hint="eastAsia" w:ascii="仿宋" w:hAnsi="仿宋" w:eastAsia="仿宋" w:cs="仿宋"/>
                <w:color w:val="000000"/>
                <w:szCs w:val="21"/>
                <w:lang w:val="zh-CN"/>
              </w:rPr>
              <w:t xml:space="preserve">方案（</w:t>
            </w:r>
            <w:r>
              <w:rPr>
                <w:rFonts w:hint="eastAsia" w:ascii="仿宋" w:hAnsi="仿宋" w:eastAsia="仿宋" w:cs="仿宋"/>
                <w:color w:val="000000"/>
                <w:szCs w:val="21"/>
              </w:rPr>
              <w:t xml:space="preserve">20分</w:t>
            </w:r>
            <w:r>
              <w:rPr>
                <w:rFonts w:hint="eastAsia" w:ascii="仿宋" w:hAnsi="仿宋" w:eastAsia="仿宋" w:cs="仿宋"/>
                <w:color w:val="000000"/>
                <w:szCs w:val="21"/>
                <w:lang w:val="zh-CN"/>
              </w:rPr>
              <w:t xml:space="preserve">）</w:t>
            </w:r>
            <w:r/>
          </w:p>
        </w:tc>
        <w:tc>
          <w:tcPr>
            <w:shd w:val="clear" w:color="auto" w:fill="ffffff" w:themeFill="background1"/>
            <w:tcBorders>
              <w:top w:val="single" w:color="auto" w:sz="4" w:space="0"/>
              <w:left w:val="single" w:color="auto" w:sz="4" w:space="0"/>
            </w:tcBorders>
            <w:tcW w:w="5389" w:type="dxa"/>
            <w:textDirection w:val="lrTb"/>
            <w:noWrap w:val="false"/>
          </w:tcPr>
          <w:p>
            <w:pPr>
              <w:pStyle w:val="656"/>
            </w:pPr>
            <w:r>
              <w:rPr>
                <w:rFonts w:hint="eastAsia" w:ascii="仿宋" w:hAnsi="仿宋" w:eastAsia="仿宋" w:cs="仿宋"/>
                <w:color w:val="000000"/>
                <w:sz w:val="21"/>
                <w:szCs w:val="21"/>
                <w:lang w:val="en-US" w:eastAsia="zh-CN" w:bidi="ar-SA"/>
              </w:rPr>
              <w:t xml:space="preserve">供应商提供的项目建设方案将依据以下量化标准进行评分：方案必须完整涵盖技术架构设计、功能模块建设、项目实施保障、扩展伸缩性四项核心要素。在此基础上，将根据各要素的关键指标完成情况进行综合评价：四项要素全部涵盖，且技术架构设计明确说明所采用的架构模</w:t>
            </w:r>
            <w:r>
              <w:rPr>
                <w:rFonts w:hint="eastAsia" w:ascii="仿宋" w:hAnsi="仿宋" w:eastAsia="仿宋" w:cs="仿宋"/>
                <w:color w:val="000000"/>
                <w:sz w:val="21"/>
                <w:szCs w:val="21"/>
                <w:lang w:val="en-US" w:eastAsia="zh-CN" w:bidi="ar-SA"/>
              </w:rPr>
              <w:t xml:space="preserve">式、关键技术选型及具体理由，功能模块建设详细列出主要模块、其功能描述及模块间关联关系，项目实施保障包含具体的人员分工与进度计划与应对措施，扩展伸缩性明确阐述未来容量扩展策略、性能指标及弹性方案的，得20分；涵盖全部四项核心要素，但其中一项的关键指标说明不完整或不够具体，或漏缺1项核心要素但其余三项的关键指标均完整明确的，得15分；漏缺2项核心要素，或虽涵盖全部要素但有两项的关键指标存在明显缺失或描述笼统的，得7分；仅涵盖1项核心要素，或所提供内容存在显著缺陷、关键信息严重缺失的，得1分；未提供方案的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20分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对接集成方案</w:t>
            </w:r>
            <w:r/>
          </w:p>
          <w:p>
            <w:pPr>
              <w:jc w:val="center"/>
              <w:rPr>
                <w:rFonts w:ascii="仿宋" w:hAnsi="仿宋" w:eastAsia="仿宋" w:cs="仿宋"/>
                <w:color w:val="000000"/>
                <w:szCs w:val="21"/>
              </w:rPr>
            </w:pPr>
            <w:r>
              <w:rPr>
                <w:rFonts w:hint="eastAsia" w:ascii="仿宋" w:hAnsi="仿宋" w:eastAsia="仿宋" w:cs="仿宋"/>
                <w:color w:val="000000"/>
                <w:szCs w:val="21"/>
              </w:rPr>
              <w:t xml:space="preserve">（16分）</w:t>
            </w:r>
            <w:r/>
          </w:p>
        </w:tc>
        <w:tc>
          <w:tcPr>
            <w:shd w:val="clear" w:color="auto" w:fill="ffffff" w:themeFill="background1"/>
            <w:tcBorders>
              <w:top w:val="single" w:color="auto" w:sz="4" w:space="0"/>
              <w:left w:val="single" w:color="auto" w:sz="4" w:space="0"/>
            </w:tcBorders>
            <w:tcW w:w="5389" w:type="dxa"/>
            <w:vAlign w:val="center"/>
            <w:textDirection w:val="lrTb"/>
            <w:noWrap w:val="false"/>
          </w:tcPr>
          <w:p>
            <w:pPr>
              <w:jc w:val="left"/>
              <w:rPr>
                <w:lang w:val="zh-CN"/>
              </w:rPr>
            </w:pPr>
            <w:r>
              <w:rPr>
                <w:rFonts w:hint="eastAsia" w:ascii="仿宋" w:hAnsi="仿宋" w:eastAsia="仿宋" w:cs="仿宋"/>
                <w:color w:val="000000"/>
                <w:sz w:val="21"/>
                <w:szCs w:val="21"/>
                <w:lang w:val="zh-CN" w:eastAsia="zh-CN" w:bidi="ar-SA"/>
              </w:rPr>
              <w:t xml:space="preserve">供应商提供的对接集成方案将依据以下量化标准进行评分：评审将以方案对江苏省一体化政务服务平台多端低代码系统及“苏服办”App现有技术架构的阐述准确性，以及对鸿蒙改造标准与实施路径说明的完整性与可操作性为核心依据。</w:t>
            </w:r>
            <w:r>
              <w:rPr>
                <w:rFonts w:hint="eastAsia" w:ascii="仿宋" w:hAnsi="仿宋" w:eastAsia="仿宋" w:cs="仿宋"/>
                <w:color w:val="000000"/>
                <w:sz w:val="21"/>
                <w:szCs w:val="21"/>
                <w:lang w:val="zh-CN" w:eastAsia="zh-CN" w:bidi="ar-SA"/>
              </w:rPr>
              <w:t xml:space="preserve">方案需清晰阐述两个系统的技术架构核心要点，并完整说明鸿蒙改造的关键要求与实施方法。具体评分如下：方案能准确、完整地解析两个系统的技术架构与交互逻辑，并对鸿蒙改造的标准、适配范围进行全面说明，同时提供包含具体步骤、时间节点、兼容性测试方案的完整实施路径的，得16分；方案能正确说明系统架构与改造要求的主要方面，但在部分技术细节的准确性或实施路径的具体环节上存在不足的，得9分；方案仅对系统架构或改造要求进行泛泛描述，存在关键信息缺失或明显理解偏差，且实施路径描述笼统、缺乏可操作细节的，得2分；未提供方案的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16分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lang w:val="zh-CN"/>
              </w:rPr>
            </w:pPr>
            <w:r>
              <w:rPr>
                <w:rFonts w:hint="eastAsia" w:ascii="仿宋" w:hAnsi="仿宋" w:eastAsia="仿宋" w:cs="仿宋"/>
                <w:color w:val="000000"/>
                <w:szCs w:val="21"/>
              </w:rPr>
              <w:t xml:space="preserve">项目</w:t>
            </w:r>
            <w:r>
              <w:rPr>
                <w:rFonts w:hint="eastAsia" w:ascii="仿宋" w:hAnsi="仿宋" w:eastAsia="仿宋" w:cs="仿宋"/>
                <w:color w:val="000000"/>
                <w:szCs w:val="21"/>
                <w:lang w:val="zh-CN"/>
              </w:rPr>
              <w:t xml:space="preserve">培训方案</w:t>
            </w:r>
            <w:r/>
          </w:p>
          <w:p>
            <w:pPr>
              <w:jc w:val="center"/>
              <w:widowControl/>
              <w:rPr>
                <w:rFonts w:ascii="仿宋" w:hAnsi="仿宋" w:eastAsia="仿宋" w:cs="仿宋"/>
                <w:color w:val="000000"/>
                <w:szCs w:val="21"/>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7</w:t>
            </w:r>
            <w:r>
              <w:rPr>
                <w:rFonts w:hint="eastAsia" w:ascii="仿宋" w:hAnsi="仿宋" w:eastAsia="仿宋" w:cs="仿宋"/>
                <w:color w:val="000000"/>
                <w:szCs w:val="21"/>
                <w:lang w:val="zh-CN"/>
              </w:rPr>
              <w:t xml:space="preserve">分）</w:t>
            </w:r>
            <w:r/>
          </w:p>
        </w:tc>
        <w:tc>
          <w:tcPr>
            <w:shd w:val="clear" w:color="auto" w:fill="ffffff" w:themeFill="background1"/>
            <w:tcBorders>
              <w:top w:val="single" w:color="auto" w:sz="4" w:space="0"/>
              <w:left w:val="single" w:color="auto" w:sz="4" w:space="0"/>
            </w:tcBorders>
            <w:tcW w:w="5389" w:type="dxa"/>
            <w:vAlign w:val="center"/>
            <w:textDirection w:val="lrTb"/>
            <w:noWrap w:val="false"/>
          </w:tcPr>
          <w:p>
            <w:pPr>
              <w:pStyle w:val="676"/>
            </w:pPr>
            <w:r>
              <w:rPr>
                <w:rFonts w:hint="eastAsia" w:ascii="仿宋" w:hAnsi="仿宋" w:eastAsia="仿宋" w:cs="仿宋"/>
                <w:color w:val="000000"/>
                <w:sz w:val="21"/>
                <w:szCs w:val="21"/>
                <w:lang w:val="zh-CN" w:eastAsia="zh-CN" w:bidi="ar-SA"/>
              </w:rPr>
              <w:t xml:space="preserve">供应商提供的项目培训方案将依据以下量化标准进行评分：方案需全面涵盖培训计划、</w:t>
            </w:r>
            <w:r>
              <w:rPr>
                <w:rFonts w:hint="eastAsia" w:ascii="仿宋" w:hAnsi="仿宋" w:eastAsia="仿宋" w:cs="仿宋"/>
                <w:color w:val="000000"/>
                <w:sz w:val="21"/>
                <w:szCs w:val="21"/>
                <w:lang w:val="en-US" w:eastAsia="zh-CN" w:bidi="ar-SA"/>
              </w:rPr>
              <w:t xml:space="preserve">培训</w:t>
            </w:r>
            <w:r>
              <w:rPr>
                <w:rFonts w:hint="eastAsia" w:ascii="仿宋" w:hAnsi="仿宋" w:eastAsia="仿宋" w:cs="仿宋"/>
                <w:color w:val="000000"/>
                <w:sz w:val="21"/>
                <w:szCs w:val="21"/>
                <w:lang w:val="zh-CN" w:eastAsia="zh-CN" w:bidi="ar-SA"/>
              </w:rPr>
              <w:t xml:space="preserve">目标、</w:t>
            </w:r>
            <w:r>
              <w:rPr>
                <w:rFonts w:hint="eastAsia" w:ascii="仿宋" w:hAnsi="仿宋" w:eastAsia="仿宋" w:cs="仿宋"/>
                <w:color w:val="000000"/>
                <w:sz w:val="21"/>
                <w:szCs w:val="21"/>
                <w:lang w:val="en-US" w:eastAsia="zh-CN" w:bidi="ar-SA"/>
              </w:rPr>
              <w:t xml:space="preserve">培训</w:t>
            </w:r>
            <w:r>
              <w:rPr>
                <w:rFonts w:hint="eastAsia" w:ascii="仿宋" w:hAnsi="仿宋" w:eastAsia="仿宋" w:cs="仿宋"/>
                <w:color w:val="000000"/>
                <w:sz w:val="21"/>
                <w:szCs w:val="21"/>
                <w:lang w:val="zh-CN" w:eastAsia="zh-CN" w:bidi="ar-SA"/>
              </w:rPr>
              <w:t xml:space="preserve">师资、</w:t>
            </w:r>
            <w:r>
              <w:rPr>
                <w:rFonts w:hint="eastAsia" w:ascii="仿宋" w:hAnsi="仿宋" w:eastAsia="仿宋" w:cs="仿宋"/>
                <w:color w:val="000000"/>
                <w:sz w:val="21"/>
                <w:szCs w:val="21"/>
                <w:lang w:val="en-US" w:eastAsia="zh-CN" w:bidi="ar-SA"/>
              </w:rPr>
              <w:t xml:space="preserve">培训</w:t>
            </w:r>
            <w:r>
              <w:rPr>
                <w:rFonts w:hint="eastAsia" w:ascii="仿宋" w:hAnsi="仿宋" w:eastAsia="仿宋" w:cs="仿宋"/>
                <w:color w:val="000000"/>
                <w:sz w:val="21"/>
                <w:szCs w:val="21"/>
                <w:lang w:val="zh-CN" w:eastAsia="zh-CN" w:bidi="ar-SA"/>
              </w:rPr>
              <w:t xml:space="preserve">内容等</w:t>
            </w:r>
            <w:r>
              <w:rPr>
                <w:rFonts w:hint="eastAsia" w:ascii="仿宋" w:hAnsi="仿宋" w:eastAsia="仿宋" w:cs="仿宋"/>
                <w:color w:val="000000"/>
                <w:sz w:val="21"/>
                <w:szCs w:val="21"/>
                <w:lang w:val="en-US" w:eastAsia="zh-CN" w:bidi="ar-SA"/>
              </w:rPr>
              <w:t xml:space="preserve">核心</w:t>
            </w:r>
            <w:r>
              <w:rPr>
                <w:rFonts w:hint="eastAsia" w:ascii="仿宋" w:hAnsi="仿宋" w:eastAsia="仿宋" w:cs="仿宋"/>
                <w:color w:val="000000"/>
                <w:sz w:val="21"/>
                <w:szCs w:val="21"/>
                <w:lang w:val="zh-CN" w:eastAsia="zh-CN" w:bidi="ar-SA"/>
              </w:rPr>
              <w:t xml:space="preserve">要素，且各部分应包含明确、可验证的关键细节描述。方案完全涵盖所有要素，且对各部分的描述均具体、可操作，逻辑清晰，与项目需求高度契合，得7分；方案涵盖所有要素，但其中部分描述较为概括，关键细节的完整性与清晰度存在不足，得4分；方案内容存在要素缺失，或整体描述空泛、缺乏可验证的具体信息，得1分；未提供方案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7分</w:t>
            </w:r>
            <w:r/>
          </w:p>
        </w:tc>
      </w:tr>
      <w:tr>
        <w:trPr>
          <w:trHeight w:val="2959"/>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突发事件应急处理预案</w:t>
            </w:r>
            <w:r/>
          </w:p>
          <w:p>
            <w:pPr>
              <w:jc w:val="center"/>
              <w:widowControl/>
              <w:rPr>
                <w:rFonts w:ascii="仿宋" w:hAnsi="仿宋" w:eastAsia="仿宋" w:cs="仿宋"/>
                <w:color w:val="000000"/>
                <w:szCs w:val="21"/>
                <w:lang w:val="zh-CN"/>
              </w:rPr>
            </w:pPr>
            <w:r>
              <w:rPr>
                <w:rFonts w:hint="eastAsia" w:ascii="仿宋" w:hAnsi="仿宋" w:eastAsia="仿宋" w:cs="仿宋"/>
                <w:color w:val="000000"/>
                <w:szCs w:val="21"/>
              </w:rPr>
              <w:t xml:space="preserve">（7分）</w:t>
            </w:r>
            <w:r/>
          </w:p>
        </w:tc>
        <w:tc>
          <w:tcPr>
            <w:shd w:val="clear" w:color="auto" w:fill="ffffff" w:themeFill="background1"/>
            <w:tcBorders>
              <w:top w:val="single" w:color="auto" w:sz="4" w:space="0"/>
              <w:left w:val="single" w:color="auto" w:sz="4" w:space="0"/>
            </w:tcBorders>
            <w:tcW w:w="5389" w:type="dxa"/>
            <w:vAlign w:val="center"/>
            <w:textDirection w:val="lrTb"/>
            <w:noWrap w:val="false"/>
          </w:tcPr>
          <w:p>
            <w:pPr>
              <w:pStyle w:val="664"/>
              <w:ind w:left="0" w:right="0" w:firstLine="0"/>
              <w:keepLines w:val="0"/>
              <w:keepNext w:val="0"/>
              <w:spacing w:before="0" w:beforeAutospacing="0" w:after="120" w:afterAutospacing="0"/>
              <w:shd w:val="clear" w:color="auto" w:fill="ffffff"/>
              <w:widowControl/>
              <w:suppressLineNumbers w:val="0"/>
            </w:pPr>
            <w:r>
              <w:rPr>
                <w:rFonts w:hint="eastAsia" w:ascii="仿宋" w:hAnsi="仿宋" w:eastAsia="仿宋" w:cs="仿宋"/>
                <w:color w:val="000000"/>
                <w:sz w:val="21"/>
                <w:szCs w:val="21"/>
                <w:lang w:val="zh-CN" w:eastAsia="zh-CN" w:bidi="ar"/>
              </w:rPr>
              <w:t xml:space="preserve">供应商提供的突发事件应急处理预案将依据以下量化标准进行评分：</w:t>
            </w:r>
            <w:r>
              <w:rPr>
                <w:rFonts w:hint="default" w:ascii="仿宋" w:hAnsi="仿宋" w:eastAsia="仿宋" w:cs="仿宋"/>
                <w:color w:val="000000"/>
                <w:sz w:val="21"/>
                <w:szCs w:val="21"/>
                <w:lang w:val="zh-CN" w:eastAsia="zh-CN" w:bidi="ar"/>
              </w:rPr>
              <w:t xml:space="preserve">方案需系统涵盖应急措施、服务响应机制及应急保障安排等核心内容，且各部分应包含清晰、可执行的关键安排与承诺。方案内容完整，应急措施具体且包含明确处理流程与资源调配方案，服务响应机制承诺具体时效并明确人员职责，应急保障安排详实，整体逻辑严谨，得7分；方案内容基本完整，但应急措施、响应机制或保障安排中某一方面的具体性不足，或关键环节描述不够清晰，得4分；方案内容存在明显缺失，或措施笼统、缺乏可执行的关键信息，得1分；未提供预案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7分分</w:t>
            </w:r>
            <w:r/>
          </w:p>
        </w:tc>
      </w:tr>
      <w:tr>
        <w:trPr>
          <w:trHeight w:val="833"/>
        </w:trPr>
        <w:tc>
          <w:tcPr>
            <w:tcW w:w="665"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rPr>
              <w:t xml:space="preserve">3</w:t>
            </w:r>
            <w:r/>
          </w:p>
        </w:tc>
        <w:tc>
          <w:tcPr>
            <w:tcW w:w="1508"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lang w:bidi="ar"/>
              </w:rPr>
              <w:t xml:space="preserve">商务部分（25分）</w:t>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企业资质</w:t>
            </w:r>
            <w:r/>
          </w:p>
          <w:p>
            <w:pPr>
              <w:jc w:val="center"/>
              <w:widowControl/>
              <w:rPr>
                <w:rFonts w:ascii="仿宋" w:hAnsi="仿宋" w:eastAsia="仿宋" w:cs="仿宋"/>
                <w:szCs w:val="21"/>
              </w:rPr>
            </w:pPr>
            <w:r>
              <w:rPr>
                <w:rFonts w:hint="eastAsia" w:ascii="仿宋" w:hAnsi="仿宋" w:eastAsia="仿宋" w:cs="仿宋"/>
                <w:szCs w:val="21"/>
              </w:rPr>
              <w:t xml:space="preserve">（10分）</w:t>
            </w:r>
            <w:r/>
          </w:p>
        </w:tc>
        <w:tc>
          <w:tcPr>
            <w:shd w:val="clear" w:color="auto" w:fill="ffffff" w:themeFill="background1"/>
            <w:tcBorders>
              <w:top w:val="single" w:color="auto" w:sz="4" w:space="0"/>
              <w:left w:val="single" w:color="auto" w:sz="4" w:space="0"/>
            </w:tcBorders>
            <w:tcW w:w="5389" w:type="dxa"/>
            <w:textDirection w:val="lrTb"/>
            <w:noWrap w:val="false"/>
          </w:tcPr>
          <w:p>
            <w:pPr>
              <w:pStyle w:val="676"/>
              <w:numPr>
                <w:ilvl w:val="0"/>
                <w:numId w:val="3"/>
              </w:numPr>
              <w:rPr>
                <w:rFonts w:ascii="仿宋" w:hAnsi="仿宋" w:eastAsia="仿宋" w:cs="仿宋"/>
                <w:color w:val="000000"/>
                <w:szCs w:val="21"/>
                <w:lang w:bidi="ar"/>
              </w:rPr>
            </w:pPr>
            <w:r>
              <w:rPr>
                <w:rFonts w:hint="eastAsia" w:ascii="仿宋" w:hAnsi="仿宋" w:eastAsia="仿宋" w:cs="仿宋"/>
                <w:color w:val="000000"/>
                <w:szCs w:val="21"/>
                <w:lang w:bidi="ar"/>
              </w:rPr>
              <w:t xml:space="preserve">供应商具有</w:t>
            </w:r>
            <w:r>
              <w:rPr>
                <w:rFonts w:hint="eastAsia" w:ascii="仿宋" w:hAnsi="仿宋" w:eastAsia="仿宋" w:cs="仿宋"/>
                <w:color w:val="000000"/>
                <w:szCs w:val="21"/>
                <w:lang w:val="en-US" w:bidi="ar"/>
              </w:rPr>
              <w:t xml:space="preserve">ITSS</w:t>
            </w:r>
            <w:r>
              <w:rPr>
                <w:rFonts w:hint="eastAsia" w:ascii="仿宋" w:hAnsi="仿宋" w:eastAsia="仿宋" w:cs="仿宋"/>
                <w:color w:val="000000"/>
                <w:szCs w:val="21"/>
                <w:lang w:bidi="ar"/>
              </w:rPr>
              <w:t xml:space="preserve">信息技术服务标准符合性证书、质量管理体系认证证书、信息安全管理体系认证证书、信息技术服务管理体系认证证书的，每提供1个得</w:t>
            </w:r>
            <w:r>
              <w:rPr>
                <w:rFonts w:hint="eastAsia" w:ascii="仿宋" w:hAnsi="仿宋" w:eastAsia="仿宋" w:cs="仿宋"/>
                <w:color w:val="000000"/>
                <w:szCs w:val="21"/>
                <w:lang w:val="en-US" w:eastAsia="zh-CN" w:bidi="ar"/>
              </w:rPr>
              <w:t xml:space="preserve">1</w:t>
            </w:r>
            <w:r>
              <w:rPr>
                <w:rFonts w:hint="eastAsia" w:ascii="仿宋" w:hAnsi="仿宋" w:eastAsia="仿宋" w:cs="仿宋"/>
                <w:color w:val="000000"/>
                <w:szCs w:val="21"/>
                <w:lang w:bidi="ar"/>
              </w:rPr>
              <w:t xml:space="preserve">分，最高得</w:t>
            </w:r>
            <w:r>
              <w:rPr>
                <w:rFonts w:hint="eastAsia" w:ascii="仿宋" w:hAnsi="仿宋" w:eastAsia="仿宋" w:cs="仿宋"/>
                <w:color w:val="000000"/>
                <w:szCs w:val="21"/>
                <w:lang w:val="en-US" w:eastAsia="zh-CN" w:bidi="ar"/>
              </w:rPr>
              <w:t xml:space="preserve">4</w:t>
            </w:r>
            <w:r>
              <w:rPr>
                <w:rFonts w:hint="eastAsia" w:ascii="仿宋" w:hAnsi="仿宋" w:eastAsia="仿宋" w:cs="仿宋"/>
                <w:color w:val="000000"/>
                <w:szCs w:val="21"/>
                <w:lang w:bidi="ar"/>
              </w:rPr>
              <w:t xml:space="preserve">分。</w:t>
            </w:r>
            <w:r/>
          </w:p>
          <w:p>
            <w:pPr>
              <w:pStyle w:val="676"/>
              <w:numPr>
                <w:ilvl w:val="0"/>
                <w:numId w:val="3"/>
              </w:numPr>
              <w:rPr>
                <w:rFonts w:ascii="仿宋" w:hAnsi="仿宋" w:eastAsia="仿宋" w:cs="仿宋"/>
                <w:szCs w:val="21"/>
                <w:lang w:val="en-US"/>
              </w:rPr>
            </w:pPr>
            <w:r>
              <w:rPr>
                <w:rFonts w:hint="eastAsia" w:ascii="仿宋" w:hAnsi="仿宋" w:eastAsia="仿宋" w:cs="仿宋"/>
                <w:szCs w:val="21"/>
                <w:lang w:val="en-US"/>
              </w:rPr>
              <w:t xml:space="preserve">供应商具有项目建设需求所需的智能检索系统软件、政务服务应用管理系统、多端低代码平台等产品著作权证书（相关软件著作权名称可不完全一致，但须具备同等或相似功能）。每提供1个得2分，满分6分。</w:t>
            </w:r>
            <w:r/>
          </w:p>
          <w:p>
            <w:pPr>
              <w:pStyle w:val="676"/>
              <w:rPr>
                <w:rFonts w:ascii="仿宋" w:hAnsi="仿宋" w:eastAsia="仿宋" w:cs="仿宋"/>
                <w:szCs w:val="21"/>
              </w:rPr>
            </w:pPr>
            <w:r>
              <w:rPr>
                <w:rFonts w:hint="eastAsia" w:ascii="仿宋" w:hAnsi="仿宋" w:eastAsia="仿宋" w:cs="仿宋"/>
                <w:b/>
                <w:bCs/>
                <w:szCs w:val="21"/>
              </w:rPr>
              <w:t xml:space="preserve">响应文件提供相关证书证明复印件或电子件并加盖投标人公章，未提供不得分。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10分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人员资质</w:t>
            </w:r>
            <w:r/>
          </w:p>
          <w:p>
            <w:pPr>
              <w:jc w:val="center"/>
              <w:widowControl/>
              <w:rPr>
                <w:rFonts w:ascii="仿宋" w:hAnsi="仿宋" w:eastAsia="仿宋" w:cs="仿宋"/>
                <w:szCs w:val="21"/>
              </w:rPr>
            </w:pPr>
            <w:r>
              <w:rPr>
                <w:rFonts w:hint="eastAsia" w:ascii="仿宋" w:hAnsi="仿宋" w:eastAsia="仿宋" w:cs="仿宋"/>
                <w:szCs w:val="21"/>
              </w:rPr>
              <w:t xml:space="preserve">（7分）</w:t>
            </w:r>
            <w:r/>
          </w:p>
        </w:tc>
        <w:tc>
          <w:tcPr>
            <w:shd w:val="clear" w:color="auto" w:fill="ffffff" w:themeFill="background1"/>
            <w:tcBorders>
              <w:top w:val="single" w:color="auto" w:sz="4" w:space="0"/>
              <w:left w:val="single" w:color="auto" w:sz="4" w:space="0"/>
            </w:tcBorders>
            <w:tcW w:w="5389" w:type="dxa"/>
            <w:textDirection w:val="lrTb"/>
            <w:noWrap w:val="false"/>
          </w:tcPr>
          <w:p>
            <w:pPr>
              <w:pStyle w:val="676"/>
              <w:numPr>
                <w:ilvl w:val="0"/>
                <w:numId w:val="4"/>
              </w:numPr>
              <w:rPr>
                <w:rFonts w:ascii="仿宋" w:hAnsi="仿宋" w:eastAsia="仿宋" w:cs="仿宋"/>
                <w:szCs w:val="21"/>
                <w:lang w:val="en-US"/>
              </w:rPr>
            </w:pPr>
            <w:r>
              <w:rPr>
                <w:rFonts w:hint="eastAsia" w:ascii="仿宋" w:hAnsi="仿宋" w:eastAsia="仿宋" w:cs="仿宋"/>
                <w:szCs w:val="21"/>
                <w:lang w:val="en-US"/>
              </w:rPr>
              <w:t xml:space="preserve">拟派项目团队成员中，项目经理具有ITSS项目经理资格证书，得2分。</w:t>
            </w:r>
            <w:r/>
          </w:p>
          <w:p>
            <w:pPr>
              <w:pStyle w:val="676"/>
              <w:rPr>
                <w:rFonts w:ascii="仿宋" w:hAnsi="仿宋" w:eastAsia="仿宋" w:cs="仿宋"/>
                <w:szCs w:val="21"/>
                <w:lang w:val="en-US"/>
              </w:rPr>
            </w:pPr>
            <w:r>
              <w:rPr>
                <w:rFonts w:hint="eastAsia" w:ascii="仿宋" w:hAnsi="仿宋" w:eastAsia="仿宋" w:cs="仿宋"/>
                <w:szCs w:val="21"/>
                <w:lang w:val="en-US"/>
              </w:rPr>
              <w:t xml:space="preserve">（2）拟派项目团队成员中，项目开发人员具有高级数据库管理工程师证书、系统架构师（高级）证书、高级程序员证书，每提供1个得1分，最多得3分。</w:t>
            </w:r>
            <w:r/>
          </w:p>
          <w:p>
            <w:pPr>
              <w:pStyle w:val="676"/>
              <w:rPr>
                <w:rFonts w:ascii="仿宋" w:hAnsi="仿宋" w:eastAsia="仿宋" w:cs="仿宋"/>
                <w:szCs w:val="21"/>
                <w:lang w:val="en-US"/>
              </w:rPr>
            </w:pPr>
            <w:r>
              <w:rPr>
                <w:rFonts w:hint="eastAsia" w:ascii="仿宋" w:hAnsi="仿宋" w:eastAsia="仿宋" w:cs="仿宋"/>
                <w:szCs w:val="21"/>
                <w:lang w:val="en-US"/>
              </w:rPr>
              <w:t xml:space="preserve">（3）拟派项目团队成员中，项目实施人员具有系统规划与管理师证书、高级WEB前端开发工程师证书、软件测评师证书、系统集成项目管理工程师证书，每提供1个得0.5分，最多得2分。</w:t>
            </w:r>
            <w:r/>
          </w:p>
          <w:p>
            <w:pPr>
              <w:pStyle w:val="676"/>
              <w:rPr>
                <w:rFonts w:ascii="仿宋" w:hAnsi="仿宋" w:eastAsia="仿宋" w:cs="仿宋"/>
                <w:szCs w:val="21"/>
              </w:rPr>
            </w:pPr>
            <w:r>
              <w:rPr>
                <w:rFonts w:hint="eastAsia" w:ascii="仿宋" w:hAnsi="仿宋" w:eastAsia="仿宋" w:cs="仿宋"/>
                <w:b/>
                <w:bCs/>
                <w:szCs w:val="21"/>
              </w:rPr>
              <w:t xml:space="preserve">投标文件提供项目团队人员名单，附相关证书、证明复印件、扫描件或电子件并加盖投标人公章，同时提供202</w:t>
            </w:r>
            <w:r>
              <w:rPr>
                <w:rFonts w:hint="eastAsia" w:ascii="仿宋" w:hAnsi="仿宋" w:eastAsia="仿宋" w:cs="仿宋"/>
                <w:b/>
                <w:bCs/>
                <w:szCs w:val="21"/>
                <w:lang w:val="en-US"/>
              </w:rPr>
              <w:t xml:space="preserve">5</w:t>
            </w:r>
            <w:r>
              <w:rPr>
                <w:rFonts w:hint="eastAsia" w:ascii="仿宋" w:hAnsi="仿宋" w:eastAsia="仿宋" w:cs="仿宋"/>
                <w:b/>
                <w:bCs/>
                <w:szCs w:val="21"/>
              </w:rPr>
              <w:t xml:space="preserve">年1月（含）以来任意一个月由</w:t>
            </w:r>
            <w:r>
              <w:rPr>
                <w:rFonts w:hint="eastAsia" w:ascii="仿宋" w:hAnsi="仿宋" w:eastAsia="仿宋" w:cs="仿宋"/>
                <w:b/>
                <w:bCs/>
                <w:szCs w:val="21"/>
                <w:lang w:val="en-US"/>
              </w:rPr>
              <w:t xml:space="preserve">供应商</w:t>
            </w:r>
            <w:r>
              <w:rPr>
                <w:rFonts w:hint="eastAsia" w:ascii="仿宋" w:hAnsi="仿宋" w:eastAsia="仿宋" w:cs="仿宋"/>
                <w:b/>
                <w:bCs/>
                <w:szCs w:val="21"/>
              </w:rPr>
              <w:t xml:space="preserve">为其缴纳社保证明，未提供不得分。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7分</w:t>
            </w:r>
            <w:r/>
          </w:p>
        </w:tc>
      </w:tr>
      <w:tr>
        <w:trPr>
          <w:trHeight w:val="332"/>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业绩</w:t>
            </w:r>
            <w:r/>
          </w:p>
          <w:p>
            <w:pPr>
              <w:jc w:val="center"/>
              <w:widowControl/>
              <w:rPr>
                <w:rFonts w:ascii="仿宋" w:hAnsi="仿宋" w:eastAsia="仿宋" w:cs="仿宋"/>
                <w:sz w:val="22"/>
              </w:rPr>
            </w:pPr>
            <w:r>
              <w:rPr>
                <w:rFonts w:hint="eastAsia" w:ascii="仿宋" w:hAnsi="仿宋" w:eastAsia="仿宋" w:cs="仿宋"/>
                <w:szCs w:val="21"/>
              </w:rPr>
              <w:t xml:space="preserve">（8分）</w:t>
            </w:r>
            <w:r/>
          </w:p>
        </w:tc>
        <w:tc>
          <w:tcPr>
            <w:shd w:val="clear" w:color="auto" w:fill="ffffff" w:themeFill="background1"/>
            <w:tcBorders>
              <w:top w:val="single" w:color="auto" w:sz="4" w:space="0"/>
              <w:left w:val="single" w:color="auto" w:sz="4" w:space="0"/>
            </w:tcBorders>
            <w:tcW w:w="5389" w:type="dxa"/>
            <w:textDirection w:val="lrTb"/>
            <w:noWrap w:val="false"/>
          </w:tcPr>
          <w:p>
            <w:pPr>
              <w:rPr>
                <w:rFonts w:ascii="仿宋" w:hAnsi="仿宋" w:eastAsia="仿宋" w:cs="仿宋"/>
                <w:szCs w:val="21"/>
                <w:lang w:val="zh-CN"/>
              </w:rPr>
            </w:pPr>
            <w:r>
              <w:rPr>
                <w:rFonts w:hint="eastAsia" w:ascii="仿宋" w:hAnsi="仿宋" w:eastAsia="仿宋" w:cs="仿宋"/>
                <w:szCs w:val="21"/>
                <w:lang w:val="zh-CN"/>
              </w:rPr>
              <w:t xml:space="preserve">供应商自202</w:t>
            </w:r>
            <w:r>
              <w:rPr>
                <w:rFonts w:hint="eastAsia" w:ascii="仿宋" w:hAnsi="仿宋" w:eastAsia="仿宋" w:cs="仿宋"/>
                <w:szCs w:val="21"/>
              </w:rPr>
              <w:t xml:space="preserve">2</w:t>
            </w:r>
            <w:r>
              <w:rPr>
                <w:rFonts w:hint="eastAsia" w:ascii="仿宋" w:hAnsi="仿宋" w:eastAsia="仿宋" w:cs="仿宋"/>
                <w:szCs w:val="21"/>
                <w:lang w:val="zh-CN"/>
              </w:rPr>
              <w:t xml:space="preserve">年</w:t>
            </w:r>
            <w:r>
              <w:rPr>
                <w:rFonts w:hint="eastAsia" w:ascii="仿宋" w:hAnsi="仿宋" w:eastAsia="仿宋" w:cs="仿宋"/>
                <w:szCs w:val="21"/>
              </w:rPr>
              <w:t xml:space="preserve">6</w:t>
            </w:r>
            <w:r>
              <w:rPr>
                <w:rFonts w:hint="eastAsia" w:ascii="仿宋" w:hAnsi="仿宋" w:eastAsia="仿宋" w:cs="仿宋"/>
                <w:szCs w:val="21"/>
                <w:lang w:val="zh-CN"/>
              </w:rPr>
              <w:t xml:space="preserve">月1日以来</w:t>
            </w:r>
            <w:r>
              <w:rPr>
                <w:rFonts w:hint="eastAsia" w:ascii="仿宋" w:hAnsi="仿宋" w:eastAsia="仿宋" w:cs="仿宋"/>
                <w:color w:val="05073b"/>
                <w:szCs w:val="21"/>
              </w:rPr>
              <w:t xml:space="preserve">成功实施类似政务服务移动端开发项目案例</w:t>
            </w:r>
            <w:r>
              <w:rPr>
                <w:rFonts w:hint="eastAsia" w:ascii="仿宋" w:hAnsi="仿宋" w:eastAsia="仿宋" w:cs="仿宋"/>
                <w:szCs w:val="21"/>
                <w:lang w:val="zh-CN"/>
              </w:rPr>
              <w:t xml:space="preserve">，每提供一个业绩证明材料得</w:t>
            </w:r>
            <w:r>
              <w:rPr>
                <w:rFonts w:hint="eastAsia" w:ascii="仿宋" w:hAnsi="仿宋" w:eastAsia="仿宋" w:cs="仿宋"/>
                <w:szCs w:val="21"/>
              </w:rPr>
              <w:t xml:space="preserve">2</w:t>
            </w:r>
            <w:r>
              <w:rPr>
                <w:rFonts w:hint="eastAsia" w:ascii="仿宋" w:hAnsi="仿宋" w:eastAsia="仿宋" w:cs="仿宋"/>
                <w:szCs w:val="21"/>
                <w:lang w:val="zh-CN"/>
              </w:rPr>
              <w:t xml:space="preserve">分，最高</w:t>
            </w:r>
            <w:r>
              <w:rPr>
                <w:rFonts w:hint="eastAsia" w:ascii="仿宋" w:hAnsi="仿宋" w:eastAsia="仿宋" w:cs="仿宋"/>
                <w:szCs w:val="21"/>
              </w:rPr>
              <w:t xml:space="preserve">8</w:t>
            </w:r>
            <w:r>
              <w:rPr>
                <w:rFonts w:hint="eastAsia" w:ascii="仿宋" w:hAnsi="仿宋" w:eastAsia="仿宋" w:cs="仿宋"/>
                <w:szCs w:val="21"/>
                <w:lang w:val="zh-CN"/>
              </w:rPr>
              <w:t xml:space="preserve">分，不提供不得分。</w:t>
            </w:r>
            <w:r/>
          </w:p>
          <w:p>
            <w:pPr>
              <w:pStyle w:val="676"/>
              <w:rPr>
                <w:rFonts w:ascii="仿宋" w:hAnsi="仿宋" w:eastAsia="仿宋" w:cs="仿宋"/>
                <w:szCs w:val="21"/>
              </w:rPr>
            </w:pPr>
            <w:r>
              <w:rPr>
                <w:rFonts w:hint="eastAsia" w:ascii="仿宋" w:hAnsi="仿宋" w:eastAsia="仿宋" w:cs="仿宋"/>
                <w:b/>
                <w:bCs/>
                <w:szCs w:val="21"/>
              </w:rPr>
              <w:t xml:space="preserve">（时间以合同签订时间为准，需体现项目内容并加盖投标人公章，否则不得分）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8分</w:t>
            </w:r>
            <w:r/>
          </w:p>
        </w:tc>
      </w:tr>
      <w:tr>
        <w:trPr>
          <w:trHeight w:val="391"/>
        </w:trPr>
        <w:tc>
          <w:tcPr>
            <w:gridSpan w:val="4"/>
            <w:tcW w:w="9082"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合计</w:t>
            </w:r>
            <w:r/>
          </w:p>
        </w:tc>
        <w:tc>
          <w:tcPr>
            <w:tcW w:w="792"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100</w:t>
            </w:r>
            <w:r/>
          </w:p>
        </w:tc>
      </w:tr>
    </w:tbl>
    <w:p>
      <w:pPr>
        <w:rPr>
          <w:rFonts w:ascii="仿宋" w:hAnsi="仿宋" w:eastAsia="仿宋" w:cs="仿宋"/>
        </w:rPr>
      </w:pPr>
      <w:r>
        <w:rPr>
          <w:rFonts w:ascii="仿宋" w:hAnsi="仿宋" w:eastAsia="仿宋" w:cs="仿宋"/>
        </w:rPr>
      </w:r>
      <w:r/>
    </w:p>
    <w:p>
      <w:pPr>
        <w:jc w:val="center"/>
        <w:keepNext/>
        <w:rPr>
          <w:rFonts w:ascii="仿宋" w:hAnsi="仿宋" w:eastAsia="仿宋" w:cs="仿宋"/>
          <w:b/>
          <w:sz w:val="44"/>
          <w:szCs w:val="28"/>
        </w:rPr>
        <w:outlineLvl w:val="0"/>
      </w:pPr>
      <w:r/>
      <w:bookmarkStart w:id="214" w:name="_Toc29207"/>
      <w:r/>
      <w:bookmarkStart w:id="215" w:name="_Toc2753"/>
      <w:r/>
      <w:bookmarkStart w:id="216" w:name="_Toc806"/>
      <w:r>
        <w:rPr>
          <w:rFonts w:hint="eastAsia" w:ascii="仿宋" w:hAnsi="仿宋" w:eastAsia="仿宋" w:cs="仿宋"/>
          <w:b/>
          <w:sz w:val="44"/>
          <w:szCs w:val="28"/>
        </w:rPr>
        <w:t xml:space="preserve">第六章  </w:t>
      </w:r>
      <w:bookmarkEnd w:id="207"/>
      <w:r/>
      <w:bookmarkEnd w:id="208"/>
      <w:r/>
      <w:bookmarkEnd w:id="209"/>
      <w:r>
        <w:rPr>
          <w:rFonts w:hint="eastAsia" w:ascii="仿宋" w:hAnsi="仿宋" w:eastAsia="仿宋" w:cs="仿宋"/>
          <w:b/>
          <w:sz w:val="44"/>
          <w:szCs w:val="28"/>
        </w:rPr>
        <w:t xml:space="preserve">响应文件格式</w:t>
      </w:r>
      <w:bookmarkEnd w:id="214"/>
      <w:r/>
      <w:bookmarkEnd w:id="215"/>
      <w:r/>
      <w:bookmarkEnd w:id="216"/>
      <w:r>
        <w:rPr>
          <w:rFonts w:hint="eastAsia" w:ascii="仿宋" w:hAnsi="仿宋" w:eastAsia="仿宋" w:cs="仿宋"/>
          <w:b/>
          <w:sz w:val="44"/>
          <w:szCs w:val="28"/>
        </w:rPr>
        <w:t xml:space="preserve"> </w:t>
      </w:r>
      <w:r/>
    </w:p>
    <w:p>
      <w:pPr>
        <w:jc w:val="center"/>
        <w:rPr>
          <w:rFonts w:ascii="仿宋" w:hAnsi="仿宋" w:eastAsia="仿宋" w:cs="仿宋"/>
          <w:b/>
          <w:sz w:val="72"/>
          <w:szCs w:val="21"/>
        </w:rPr>
      </w:pPr>
      <w:r/>
      <w:bookmarkStart w:id="217" w:name="_Hlt26955039"/>
      <w:r/>
      <w:bookmarkEnd w:id="217"/>
      <w:r/>
      <w:bookmarkStart w:id="218" w:name="_Hlt26671244"/>
      <w:r/>
      <w:bookmarkEnd w:id="218"/>
      <w:r/>
      <w:bookmarkStart w:id="219" w:name="_Toc49090576"/>
      <w:r/>
      <w:bookmarkStart w:id="220" w:name="_Toc26554094"/>
      <w:r/>
      <w:bookmarkStart w:id="221" w:name="_Toc120614282"/>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仿宋" w:hAnsi="仿宋" w:eastAsia="仿宋" w:cs="仿宋"/>
          <w:szCs w:val="21"/>
        </w:rPr>
      </w:pPr>
      <w:r>
        <w:rPr>
          <w:rFonts w:ascii="仿宋" w:hAnsi="仿宋" w:eastAsia="仿宋" w:cs="仿宋"/>
          <w:szCs w:val="21"/>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1.磋商报价表</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2.分项报价表（格式见附件1）</w:t>
      </w:r>
      <w:r/>
    </w:p>
    <w:p>
      <w:pPr>
        <w:ind w:firstLine="436"/>
        <w:keepLines/>
        <w:keepNext/>
        <w:spacing w:before="145" w:after="145" w:line="360" w:lineRule="auto"/>
        <w:rPr>
          <w:rFonts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2.法定代表人身份证明（格式见附件3）、</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3.法人授权书（格式见附件4）、被授权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4.磋商响应函（格式见附件5）</w:t>
      </w:r>
      <w:r/>
    </w:p>
    <w:p>
      <w:pPr>
        <w:ind w:firstLine="480"/>
        <w:spacing w:line="500" w:lineRule="exact"/>
        <w:rPr>
          <w:rFonts w:ascii="仿宋" w:hAnsi="仿宋" w:eastAsia="仿宋" w:cs="仿宋"/>
          <w:sz w:val="24"/>
          <w:szCs w:val="21"/>
          <w:highlight w:val="cyan"/>
        </w:rPr>
      </w:pPr>
      <w:r>
        <w:rPr>
          <w:rFonts w:hint="eastAsia" w:ascii="仿宋" w:hAnsi="仿宋" w:eastAsia="仿宋" w:cs="仿宋"/>
          <w:sz w:val="24"/>
          <w:szCs w:val="21"/>
        </w:rPr>
        <w:t xml:space="preserve">5.中小企业声明函（如果本项目专门面向中小微型企业采购，则必须提供。格式见附件6。）</w:t>
      </w:r>
      <w:r/>
    </w:p>
    <w:p>
      <w:pPr>
        <w:ind w:firstLine="480"/>
        <w:spacing w:line="500" w:lineRule="exact"/>
        <w:rPr>
          <w:rFonts w:ascii="仿宋" w:hAnsi="仿宋" w:eastAsia="仿宋" w:cs="仿宋"/>
          <w:sz w:val="24"/>
          <w:szCs w:val="21"/>
          <w:highlight w:val="green"/>
        </w:rPr>
      </w:pPr>
      <w:r>
        <w:rPr>
          <w:rFonts w:hint="eastAsia" w:ascii="仿宋" w:hAnsi="仿宋" w:eastAsia="仿宋" w:cs="仿宋"/>
          <w:sz w:val="24"/>
          <w:szCs w:val="21"/>
        </w:rPr>
        <w:t xml:space="preserve">6.残疾人福利性单位声明函（如果本项目专门面向中小微型企业采购，供应商为残疾人福利性单位并提供本单位制造的货物，或者提供其他残疾人福利性单位制造的货物，则必须提供。格式见附件7。）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0000ff"/>
          <w:sz w:val="24"/>
          <w:szCs w:val="21"/>
        </w:rPr>
      </w:pPr>
      <w:r>
        <w:rPr>
          <w:rFonts w:hint="eastAsia" w:ascii="仿宋" w:hAnsi="仿宋" w:eastAsia="仿宋" w:cs="仿宋"/>
          <w:sz w:val="24"/>
          <w:szCs w:val="21"/>
        </w:rPr>
        <w:t xml:space="preserve">7.监狱和戒毒企业证明材料</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如果本项目专门面向中小微型企业采购，供应商为监狱和戒毒企业的，则必须提供。格式见附件8。）</w:t>
      </w:r>
      <w:r/>
    </w:p>
    <w:p>
      <w:pPr>
        <w:ind w:firstLine="480"/>
        <w:spacing w:line="400" w:lineRule="exact"/>
        <w:rPr>
          <w:rFonts w:ascii="仿宋" w:hAnsi="仿宋" w:eastAsia="仿宋" w:cs="仿宋"/>
        </w:rPr>
      </w:pP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其它需要提交的资格审查证明材料。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1.技术要求响应及偏离表（格式见附件9）</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2.商务要求响应及偏离表（格式见附件10）</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3.实质性要求响应及偏离表（格式见附件11），供应商必须对技术要求和商务要求中加斜体下划线的实质性要求做出响应，并按照磋商文件要求提供证明材料，否则做无效响应处理。</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 </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ascii="仿宋" w:hAnsi="仿宋" w:eastAsia="仿宋" w:cs="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五、价格扣除证明文件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1.中小企业声明函（格式见附件6）</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2.残疾人福利性单位声明函（格式见附件7）</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3.监狱和戒毒企业证明材料</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w:t>
      </w:r>
      <w:r/>
    </w:p>
    <w:p>
      <w:pPr>
        <w:ind w:left="480"/>
        <w:spacing w:line="500" w:lineRule="exact"/>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bCs/>
          <w:sz w:val="24"/>
          <w:szCs w:val="21"/>
          <w:highlight w:val="cyan"/>
        </w:rPr>
      </w:pPr>
      <w:r>
        <w:rPr>
          <w:rFonts w:hint="eastAsia" w:ascii="仿宋" w:hAnsi="仿宋" w:eastAsia="仿宋" w:cs="仿宋"/>
          <w:b/>
          <w:sz w:val="28"/>
          <w:szCs w:val="28"/>
        </w:rPr>
        <w:br w:type="page" w:clear="all"/>
      </w:r>
      <w:r/>
    </w:p>
    <w:p>
      <w:pPr>
        <w:ind w:left="480"/>
        <w:spacing w:line="400" w:lineRule="exact"/>
        <w:rPr>
          <w:rFonts w:ascii="仿宋" w:hAnsi="仿宋" w:eastAsia="仿宋" w:cs="仿宋"/>
          <w:b/>
          <w:sz w:val="28"/>
          <w:szCs w:val="28"/>
        </w:rPr>
      </w:pPr>
      <w:r>
        <w:rPr>
          <w:rFonts w:hint="eastAsia" w:ascii="仿宋" w:hAnsi="仿宋" w:eastAsia="仿宋" w:cs="仿宋"/>
          <w:b/>
          <w:sz w:val="28"/>
          <w:szCs w:val="28"/>
        </w:rPr>
        <w:t xml:space="preserve">附件1              </w:t>
      </w:r>
      <w:r/>
    </w:p>
    <w:p>
      <w:pPr>
        <w:ind w:left="480"/>
        <w:jc w:val="center"/>
        <w:spacing w:line="400" w:lineRule="exact"/>
        <w:rPr>
          <w:rFonts w:ascii="仿宋" w:hAnsi="仿宋" w:eastAsia="仿宋" w:cs="仿宋"/>
          <w:b/>
          <w:sz w:val="28"/>
          <w:szCs w:val="28"/>
        </w:rPr>
      </w:pPr>
      <w:r>
        <w:rPr>
          <w:rFonts w:hint="eastAsia" w:ascii="仿宋" w:hAnsi="仿宋" w:eastAsia="仿宋" w:cs="仿宋"/>
          <w:b/>
          <w:sz w:val="28"/>
          <w:szCs w:val="28"/>
        </w:rPr>
        <w:t xml:space="preserve">分项报价表（服务类项目）</w:t>
      </w:r>
      <w:r/>
    </w:p>
    <w:p>
      <w:pPr>
        <w:pStyle w:val="665"/>
        <w:rPr>
          <w:rFonts w:ascii="仿宋" w:hAnsi="仿宋" w:eastAsia="仿宋" w:cs="仿宋"/>
        </w:rPr>
      </w:pPr>
      <w:r>
        <w:rPr>
          <w:rFonts w:ascii="仿宋" w:hAnsi="仿宋" w:eastAsia="仿宋" w:cs="仿宋"/>
        </w:rPr>
      </w:r>
      <w:r/>
    </w:p>
    <w:tbl>
      <w:tblPr>
        <w:tblStyle w:val="655"/>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服务范围</w:t>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服务要求</w:t>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服务时间</w:t>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服务标准</w:t>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金额</w:t>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备注</w:t>
            </w:r>
            <w:r/>
          </w:p>
        </w:tc>
      </w:tr>
      <w:tr>
        <w:trPr>
          <w:cantSplit/>
          <w:jc w:val="center"/>
          <w:trHeight w:val="479"/>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02"/>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419"/>
        </w:trPr>
        <w:tc>
          <w:tcPr>
            <w:tcW w:w="971"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7"/>
            <w:tcW w:w="8709"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总报价（人民币：元）</w:t>
            </w:r>
            <w:r/>
          </w:p>
        </w:tc>
      </w:tr>
    </w:tbl>
    <w:p>
      <w:pPr>
        <w:jc w:val="center"/>
        <w:spacing w:line="0" w:lineRule="atLeast"/>
        <w:rPr>
          <w:rFonts w:ascii="仿宋" w:hAnsi="仿宋" w:eastAsia="仿宋" w:cs="仿宋"/>
          <w:sz w:val="24"/>
          <w:szCs w:val="24"/>
          <w:lang w:val="zh-CN"/>
        </w:rPr>
      </w:pPr>
      <w:r>
        <w:rPr>
          <w:rFonts w:ascii="仿宋" w:hAnsi="仿宋" w:eastAsia="仿宋" w:cs="仿宋"/>
          <w:sz w:val="24"/>
          <w:szCs w:val="24"/>
          <w:lang w:val="zh-CN"/>
        </w:rPr>
      </w:r>
      <w:r/>
    </w:p>
    <w:p>
      <w:pPr>
        <w:rPr>
          <w:rFonts w:ascii="仿宋" w:hAnsi="仿宋" w:eastAsia="仿宋" w:cs="仿宋"/>
          <w:sz w:val="24"/>
          <w:szCs w:val="24"/>
        </w:rPr>
      </w:pPr>
      <w:r>
        <w:rPr>
          <w:rFonts w:hint="eastAsia" w:ascii="仿宋" w:hAnsi="仿宋" w:eastAsia="仿宋" w:cs="仿宋"/>
          <w:sz w:val="24"/>
          <w:szCs w:val="24"/>
        </w:rPr>
        <w:t xml:space="preserve">备注： </w:t>
      </w:r>
      <w:r/>
    </w:p>
    <w:p>
      <w:pPr>
        <w:spacing w:line="0" w:lineRule="atLeast"/>
        <w:rPr>
          <w:rFonts w:ascii="仿宋" w:hAnsi="仿宋" w:eastAsia="仿宋" w:cs="仿宋"/>
          <w:sz w:val="24"/>
          <w:szCs w:val="24"/>
        </w:rPr>
      </w:pPr>
      <w:r>
        <w:rPr>
          <w:rFonts w:hint="eastAsia" w:ascii="仿宋" w:hAnsi="仿宋" w:eastAsia="仿宋" w:cs="仿宋"/>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firstLine="480"/>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spacing w:line="400" w:lineRule="exact"/>
        <w:rPr>
          <w:rFonts w:ascii="仿宋" w:hAnsi="仿宋" w:eastAsia="仿宋" w:cs="仿宋"/>
          <w:color w:val="ff0000"/>
          <w:sz w:val="24"/>
          <w:szCs w:val="24"/>
          <w:highlight w:val="yellow"/>
        </w:rPr>
      </w:pPr>
      <w:r>
        <w:rPr>
          <w:rFonts w:ascii="仿宋" w:hAnsi="仿宋" w:eastAsia="仿宋" w:cs="仿宋"/>
          <w:color w:val="ff0000"/>
          <w:sz w:val="24"/>
          <w:szCs w:val="24"/>
          <w:highlight w:val="yellow"/>
        </w:rPr>
      </w:r>
      <w:r/>
    </w:p>
    <w:p>
      <w:pPr>
        <w:contextualSpacing/>
        <w:spacing w:line="400" w:lineRule="exact"/>
        <w:rPr>
          <w:rFonts w:ascii="仿宋" w:hAnsi="仿宋" w:eastAsia="仿宋" w:cs="仿宋"/>
          <w:b/>
          <w:sz w:val="28"/>
          <w:szCs w:val="28"/>
          <w:lang w:val="zh-CN"/>
        </w:rPr>
      </w:pPr>
      <w:r>
        <w:rPr>
          <w:rFonts w:hint="eastAsia" w:ascii="仿宋" w:hAnsi="仿宋" w:eastAsia="仿宋" w:cs="仿宋"/>
          <w:b/>
          <w:color w:val="ff0000"/>
          <w:sz w:val="24"/>
          <w:szCs w:val="24"/>
        </w:rPr>
        <w:br w:type="page" w:clear="all"/>
      </w:r>
      <w:bookmarkEnd w:id="219"/>
      <w:r/>
      <w:bookmarkEnd w:id="220"/>
      <w:r/>
      <w:bookmarkEnd w:id="221"/>
      <w:r/>
      <w:bookmarkStart w:id="222" w:name="_Toc120614284"/>
      <w:r>
        <w:rPr>
          <w:rFonts w:hint="eastAsia" w:ascii="仿宋" w:hAnsi="仿宋" w:eastAsia="仿宋" w:cs="仿宋"/>
          <w:b/>
          <w:sz w:val="28"/>
          <w:szCs w:val="28"/>
          <w:lang w:val="zh-CN"/>
        </w:rPr>
        <w:t xml:space="preserve">附件</w:t>
      </w:r>
      <w:r>
        <w:rPr>
          <w:rFonts w:hint="eastAsia" w:ascii="仿宋" w:hAnsi="仿宋" w:eastAsia="仿宋" w:cs="仿宋"/>
          <w:b/>
          <w:sz w:val="28"/>
          <w:szCs w:val="28"/>
        </w:rPr>
        <w:t xml:space="preserve">2</w:t>
      </w:r>
      <w:r/>
    </w:p>
    <w:p>
      <w:pPr>
        <w:jc w:val="center"/>
        <w:rPr>
          <w:rFonts w:ascii="仿宋" w:hAnsi="仿宋" w:eastAsia="仿宋" w:cs="仿宋"/>
          <w:b/>
          <w:sz w:val="28"/>
          <w:szCs w:val="28"/>
        </w:rPr>
      </w:pPr>
      <w:r>
        <w:rPr>
          <w:rFonts w:hint="eastAsia" w:ascii="仿宋" w:hAnsi="仿宋" w:eastAsia="仿宋" w:cs="仿宋"/>
          <w:b/>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sz w:val="28"/>
          <w:szCs w:val="28"/>
        </w:rPr>
        <w:t xml:space="preserve">第二十二条规定条件的声明函</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spacing w:line="600" w:lineRule="exact"/>
        <w:rPr>
          <w:rFonts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p>
    <w:p>
      <w:pPr>
        <w:rPr>
          <w:rFonts w:ascii="仿宋" w:hAnsi="仿宋" w:eastAsia="仿宋" w:cs="仿宋"/>
          <w:b/>
          <w:color w:val="000000"/>
          <w:sz w:val="24"/>
          <w:szCs w:val="21"/>
        </w:rPr>
      </w:pPr>
      <w:r>
        <w:rPr>
          <w:rFonts w:ascii="仿宋" w:hAnsi="仿宋" w:eastAsia="仿宋" w:cs="仿宋"/>
          <w:b/>
          <w:color w:val="000000"/>
          <w:sz w:val="24"/>
          <w:szCs w:val="21"/>
        </w:rPr>
      </w:r>
      <w:r/>
    </w:p>
    <w:p>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附件4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665"/>
        <w:rPr>
          <w:rFonts w:ascii="仿宋" w:hAnsi="仿宋" w:eastAsia="仿宋" w:cs="仿宋"/>
        </w:rPr>
      </w:pPr>
      <w:r>
        <w:rPr>
          <w:rFonts w:ascii="仿宋" w:hAnsi="仿宋" w:eastAsia="仿宋" w:cs="仿宋"/>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日期：</w:t>
      </w:r>
      <w:bookmarkStart w:id="223" w:name="_格式3__银行出具的资信证明"/>
      <w:r/>
      <w:bookmarkEnd w:id="223"/>
      <w:r/>
      <w:bookmarkStart w:id="224" w:name="_Hlt26955070"/>
      <w:r/>
      <w:bookmarkEnd w:id="224"/>
      <w:r/>
      <w:bookmarkStart w:id="225" w:name="_Hlt26671380"/>
      <w:r/>
      <w:bookmarkEnd w:id="225"/>
      <w:r>
        <w:rPr>
          <w:rFonts w:hint="eastAsia" w:ascii="仿宋" w:hAnsi="仿宋" w:eastAsia="仿宋" w:cs="仿宋"/>
          <w:sz w:val="24"/>
          <w:szCs w:val="24"/>
          <w:u w:val="single"/>
        </w:rPr>
        <w:t xml:space="preserve">                                         </w:t>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color w:val="000000"/>
          <w:sz w:val="24"/>
          <w:szCs w:val="21"/>
        </w:rPr>
        <w:t xml:space="preserve">（加盖CA电子公章）</w:t>
      </w:r>
      <w:r/>
    </w:p>
    <w:p>
      <w:pPr>
        <w:ind w:firstLine="480"/>
        <w:spacing w:line="0" w:lineRule="atLeast"/>
        <w:tabs>
          <w:tab w:val="left" w:pos="360" w:leader="none"/>
        </w:tabs>
        <w:rPr>
          <w:rFonts w:ascii="仿宋" w:hAnsi="仿宋" w:eastAsia="仿宋" w:cs="仿宋"/>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附件5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665"/>
        <w:rPr>
          <w:rFonts w:ascii="仿宋" w:hAnsi="仿宋" w:eastAsia="仿宋" w:cs="仿宋"/>
        </w:rPr>
      </w:pPr>
      <w:r>
        <w:rPr>
          <w:rFonts w:ascii="仿宋" w:hAnsi="仿宋" w:eastAsia="仿宋" w:cs="仿宋"/>
        </w:r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致：如东县公共资源交易中心</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spacing w:line="560" w:lineRule="exact"/>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8"/>
          <w:szCs w:val="28"/>
        </w:rPr>
      </w:pPr>
      <w:r>
        <w:rPr>
          <w:rFonts w:hint="eastAsia" w:ascii="仿宋" w:hAnsi="仿宋" w:eastAsia="仿宋" w:cs="仿宋"/>
          <w:b/>
          <w:sz w:val="28"/>
          <w:szCs w:val="28"/>
        </w:rPr>
        <w:t xml:space="preserve">附件6 </w:t>
      </w:r>
      <w:r/>
    </w:p>
    <w:p>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（软件和信息技术服务）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spacing w:line="400" w:lineRule="exact"/>
        <w:rPr>
          <w:rFonts w:ascii="仿宋" w:hAnsi="仿宋" w:eastAsia="仿宋" w:cs="仿宋"/>
          <w:b/>
          <w:color w:val="000000"/>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588" w:lineRule="exact"/>
        <w:rPr>
          <w:rFonts w:ascii="仿宋" w:hAnsi="仿宋" w:eastAsia="仿宋" w:cs="仿宋"/>
          <w:b/>
          <w:strike/>
          <w:color w:val="000000"/>
          <w:sz w:val="24"/>
          <w:szCs w:val="24"/>
        </w:rPr>
      </w:pPr>
      <w:r>
        <w:rPr>
          <w:rFonts w:ascii="仿宋" w:hAnsi="仿宋" w:eastAsia="仿宋" w:cs="仿宋"/>
          <w:b/>
          <w:strike/>
          <w:color w:val="000000"/>
          <w:sz w:val="24"/>
          <w:szCs w:val="24"/>
        </w:rPr>
      </w:r>
      <w:r/>
    </w:p>
    <w:p>
      <w:pPr>
        <w:pStyle w:val="665"/>
        <w:rPr>
          <w:rFonts w:ascii="仿宋" w:hAnsi="仿宋" w:eastAsia="仿宋" w:cs="仿宋"/>
          <w:strike/>
        </w:rPr>
      </w:pPr>
      <w:r>
        <w:rPr>
          <w:rFonts w:ascii="仿宋" w:hAnsi="仿宋" w:eastAsia="仿宋" w:cs="仿宋"/>
          <w:strike/>
        </w:rPr>
      </w:r>
      <w:r/>
    </w:p>
    <w:p>
      <w:pPr>
        <w:ind w:firstLine="562"/>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r/>
    </w:p>
    <w:p>
      <w:pPr>
        <w:rPr>
          <w:rFonts w:ascii="仿宋" w:hAnsi="仿宋" w:eastAsia="仿宋" w:cs="仿宋"/>
          <w:sz w:val="28"/>
          <w:szCs w:val="28"/>
        </w:rPr>
      </w:pPr>
      <w:r>
        <w:rPr>
          <w:rFonts w:ascii="仿宋" w:hAnsi="仿宋" w:eastAsia="仿宋" w:cs="仿宋"/>
          <w:sz w:val="28"/>
          <w:szCs w:val="28"/>
        </w:rPr>
      </w:r>
      <w:r/>
    </w:p>
    <w:p>
      <w:pPr>
        <w:jc w:val="center"/>
        <w:spacing w:line="588"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r/>
    </w:p>
    <w:p>
      <w:pPr>
        <w:pStyle w:val="665"/>
        <w:rPr>
          <w:rFonts w:ascii="仿宋" w:hAnsi="仿宋" w:eastAsia="仿宋" w:cs="仿宋"/>
        </w:rPr>
      </w:pPr>
      <w:r>
        <w:rPr>
          <w:rFonts w:ascii="仿宋" w:hAnsi="仿宋" w:eastAsia="仿宋" w:cs="仿宋"/>
        </w:rPr>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color w:val="000000" w:themeColor="text1"/>
          <w:sz w:val="24"/>
          <w:szCs w:val="24"/>
          <w14:textFill>
            <w14:solidFill>
              <w14:schemeClr w14:val="tx1"/>
            </w14:solidFill>
          </w14:textFill>
        </w:rPr>
        <w:t xml:space="preserve">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项目采购活动由本单位提供服务。</w:t>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pStyle w:val="665"/>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sz w:val="24"/>
          <w:szCs w:val="21"/>
        </w:rPr>
      </w:pPr>
      <w:r>
        <w:rPr>
          <w:rFonts w:ascii="仿宋" w:hAnsi="仿宋" w:eastAsia="仿宋" w:cs="仿宋"/>
          <w:sz w:val="24"/>
          <w:szCs w:val="21"/>
        </w:rPr>
      </w:r>
      <w:r/>
    </w:p>
    <w:p>
      <w:pPr>
        <w:pStyle w:val="665"/>
        <w:rPr>
          <w:rFonts w:ascii="仿宋" w:hAnsi="仿宋" w:eastAsia="仿宋" w:cs="仿宋"/>
        </w:rPr>
      </w:pPr>
      <w:r>
        <w:rPr>
          <w:rFonts w:ascii="仿宋" w:hAnsi="仿宋" w:eastAsia="仿宋" w:cs="仿宋"/>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1、如项目类型为“服务”，请按照此格式填写。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3、 非专门面向中小微型企业采购的项目，供应商如不提供此声明函，价格将不做相应扣除。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624"/>
        <w:jc w:val="center"/>
        <w:spacing w:line="0" w:lineRule="atLeast"/>
        <w:tabs>
          <w:tab w:val="left" w:pos="4860" w:leader="none"/>
        </w:tabs>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p>
    <w:p>
      <w:pPr>
        <w:ind w:right="1559" w:firstLine="480"/>
        <w:jc w:val="center"/>
        <w:spacing w:line="0" w:lineRule="atLeas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ascii="仿宋" w:hAnsi="仿宋" w:eastAsia="仿宋" w:cs="仿宋"/>
          <w:b/>
          <w:strike/>
          <w:sz w:val="32"/>
          <w:szCs w:val="32"/>
        </w:rPr>
      </w:pPr>
      <w:r>
        <w:rPr>
          <w:rFonts w:ascii="仿宋" w:hAnsi="仿宋" w:eastAsia="仿宋" w:cs="仿宋"/>
          <w:b/>
          <w:strike/>
          <w:sz w:val="32"/>
          <w:szCs w:val="32"/>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z w:val="28"/>
          <w:szCs w:val="28"/>
        </w:rPr>
        <w:outlineLvl w:val="3"/>
      </w:pPr>
      <w:r>
        <w:rPr>
          <w:rFonts w:hint="eastAsia" w:ascii="仿宋" w:hAnsi="仿宋" w:eastAsia="仿宋" w:cs="仿宋"/>
          <w:b/>
          <w:sz w:val="28"/>
          <w:szCs w:val="28"/>
        </w:rPr>
        <w:t xml:space="preserve">附件8</w:t>
      </w:r>
      <w:r/>
    </w:p>
    <w:p>
      <w:pPr>
        <w:jc w:val="center"/>
        <w:spacing w:line="42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w:t>
      </w:r>
      <w:r>
        <w:rPr>
          <w:rFonts w:hint="eastAsia" w:ascii="仿宋" w:hAnsi="仿宋" w:eastAsia="仿宋" w:cs="仿宋"/>
          <w:color w:val="ff0000"/>
          <w:sz w:val="24"/>
          <w:szCs w:val="24"/>
        </w:rPr>
        <w:t xml:space="preserve">〔2014〕</w:t>
      </w:r>
      <w:r>
        <w:rPr>
          <w:rFonts w:hint="eastAsia" w:ascii="仿宋" w:hAnsi="仿宋" w:eastAsia="仿宋" w:cs="仿宋"/>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strike/>
          <w:sz w:val="24"/>
          <w:szCs w:val="21"/>
        </w:rPr>
      </w:pPr>
      <w:r>
        <w:rPr>
          <w:rFonts w:ascii="仿宋" w:hAnsi="仿宋" w:eastAsia="仿宋" w:cs="仿宋"/>
          <w:strike/>
          <w:sz w:val="24"/>
          <w:szCs w:val="21"/>
        </w:rPr>
      </w:r>
      <w:r/>
    </w:p>
    <w:p>
      <w:pPr>
        <w:jc w:val="center"/>
        <w:spacing w:line="560" w:lineRule="exact"/>
        <w:rPr>
          <w:rFonts w:ascii="仿宋" w:hAnsi="仿宋" w:eastAsia="仿宋" w:cs="仿宋"/>
          <w:b/>
          <w:strike/>
          <w:sz w:val="32"/>
          <w:szCs w:val="32"/>
        </w:rPr>
      </w:pPr>
      <w:r>
        <w:rPr>
          <w:rFonts w:ascii="仿宋" w:hAnsi="仿宋" w:eastAsia="仿宋" w:cs="仿宋"/>
          <w:b/>
          <w:strike/>
          <w:sz w:val="32"/>
          <w:szCs w:val="32"/>
        </w:rPr>
      </w:r>
      <w:r/>
    </w:p>
    <w:p>
      <w:pPr>
        <w:jc w:val="center"/>
        <w:spacing w:line="560" w:lineRule="exact"/>
        <w:rPr>
          <w:rFonts w:ascii="仿宋" w:hAnsi="仿宋" w:eastAsia="仿宋" w:cs="仿宋"/>
          <w:b/>
          <w:strike/>
          <w:sz w:val="32"/>
          <w:szCs w:val="32"/>
        </w:rPr>
      </w:pPr>
      <w:r>
        <w:rPr>
          <w:rFonts w:ascii="仿宋" w:hAnsi="仿宋" w:eastAsia="仿宋" w:cs="仿宋"/>
          <w:b/>
          <w:strike/>
          <w:sz w:val="32"/>
          <w:szCs w:val="32"/>
        </w:rPr>
      </w:r>
      <w:r/>
    </w:p>
    <w:p>
      <w:pPr>
        <w:spacing w:line="560" w:lineRule="exact"/>
        <w:rPr>
          <w:rFonts w:ascii="仿宋" w:hAnsi="仿宋" w:eastAsia="仿宋" w:cs="仿宋"/>
          <w:b/>
          <w:strike/>
          <w:sz w:val="32"/>
          <w:szCs w:val="32"/>
        </w:rPr>
      </w:pPr>
      <w:r>
        <w:rPr>
          <w:rFonts w:ascii="仿宋" w:hAnsi="仿宋" w:eastAsia="仿宋" w:cs="仿宋"/>
          <w:b/>
          <w:strike/>
          <w:sz w:val="32"/>
          <w:szCs w:val="32"/>
        </w:rPr>
      </w:r>
      <w:r/>
    </w:p>
    <w:p>
      <w:pPr>
        <w:spacing w:line="0" w:lineRule="atLeast"/>
        <w:rPr>
          <w:rFonts w:ascii="仿宋" w:hAnsi="仿宋" w:eastAsia="仿宋" w:cs="仿宋"/>
          <w:b/>
          <w:sz w:val="28"/>
          <w:szCs w:val="28"/>
        </w:rPr>
      </w:pPr>
      <w:r>
        <w:rPr>
          <w:rFonts w:hint="eastAsia" w:ascii="仿宋" w:hAnsi="仿宋" w:eastAsia="仿宋" w:cs="仿宋"/>
          <w:b/>
          <w:strike/>
          <w:sz w:val="24"/>
          <w:szCs w:val="24"/>
        </w:rPr>
        <w:br w:type="page" w:clear="all"/>
      </w:r>
      <w:r>
        <w:rPr>
          <w:rFonts w:hint="eastAsia" w:ascii="仿宋" w:hAnsi="仿宋" w:eastAsia="仿宋" w:cs="仿宋"/>
          <w:b/>
          <w:sz w:val="28"/>
          <w:szCs w:val="28"/>
        </w:rPr>
        <w:t xml:space="preserve">附件****</w:t>
      </w:r>
      <w:r/>
    </w:p>
    <w:p>
      <w:pPr>
        <w:rPr>
          <w:rFonts w:ascii="仿宋" w:hAnsi="仿宋" w:eastAsia="仿宋" w:cs="仿宋"/>
          <w:sz w:val="28"/>
          <w:szCs w:val="28"/>
        </w:rPr>
      </w:pPr>
      <w:r>
        <w:rPr>
          <w:rFonts w:ascii="仿宋" w:hAnsi="仿宋" w:eastAsia="仿宋" w:cs="仿宋"/>
          <w:sz w:val="28"/>
          <w:szCs w:val="28"/>
        </w:rPr>
      </w:r>
      <w:r/>
    </w:p>
    <w:p>
      <w:pPr>
        <w:jc w:val="center"/>
        <w:spacing w:line="0" w:lineRule="atLeast"/>
        <w:rPr>
          <w:rFonts w:ascii="仿宋" w:hAnsi="仿宋" w:eastAsia="仿宋" w:cs="仿宋"/>
          <w:b/>
          <w:sz w:val="28"/>
          <w:szCs w:val="28"/>
        </w:rPr>
      </w:pPr>
      <w:r>
        <w:rPr>
          <w:rFonts w:hint="eastAsia" w:ascii="仿宋" w:hAnsi="仿宋" w:eastAsia="仿宋" w:cs="仿宋"/>
          <w:b/>
          <w:sz w:val="28"/>
          <w:szCs w:val="28"/>
        </w:rPr>
        <w:t xml:space="preserve">联合体协议（参考格式）</w:t>
      </w:r>
      <w:r/>
    </w:p>
    <w:p>
      <w:pPr>
        <w:pStyle w:val="665"/>
        <w:rPr>
          <w:rFonts w:ascii="仿宋" w:hAnsi="仿宋" w:eastAsia="仿宋" w:cs="仿宋"/>
        </w:rPr>
      </w:pPr>
      <w:r>
        <w:rPr>
          <w:rFonts w:ascii="仿宋" w:hAnsi="仿宋" w:eastAsia="仿宋" w:cs="仿宋"/>
        </w:rPr>
      </w:r>
      <w:r/>
    </w:p>
    <w:p>
      <w:pPr>
        <w:spacing w:line="0" w:lineRule="atLeast"/>
        <w:rPr>
          <w:rFonts w:ascii="仿宋" w:hAnsi="仿宋" w:eastAsia="仿宋" w:cs="仿宋"/>
          <w:sz w:val="24"/>
          <w:szCs w:val="21"/>
        </w:rPr>
      </w:pPr>
      <w:r>
        <w:rPr>
          <w:rFonts w:hint="eastAsia" w:ascii="仿宋" w:hAnsi="仿宋" w:eastAsia="仿宋" w:cs="仿宋"/>
          <w:sz w:val="24"/>
          <w:szCs w:val="21"/>
        </w:rPr>
        <w:t xml:space="preserve">（联合体中各供应商全称）在此达成以下协议：</w:t>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1、我们</w:t>
      </w:r>
      <w:r>
        <w:rPr>
          <w:rFonts w:hint="eastAsia" w:ascii="仿宋" w:hAnsi="仿宋" w:eastAsia="仿宋" w:cs="仿宋"/>
          <w:sz w:val="24"/>
          <w:szCs w:val="21"/>
          <w:u w:val="single"/>
        </w:rPr>
        <w:t xml:space="preserve"> （供应商1），（供应商2） ，……</w:t>
      </w:r>
      <w:r>
        <w:rPr>
          <w:rFonts w:hint="eastAsia" w:ascii="仿宋" w:hAnsi="仿宋" w:eastAsia="仿宋" w:cs="仿宋"/>
          <w:sz w:val="24"/>
          <w:szCs w:val="21"/>
        </w:rPr>
        <w:t xml:space="preserve">自愿组成联合体，参加如东县公共资源交易中心组织的采购编号为</w:t>
      </w:r>
      <w:r>
        <w:rPr>
          <w:rFonts w:hint="eastAsia" w:ascii="仿宋" w:hAnsi="仿宋" w:eastAsia="仿宋" w:cs="仿宋"/>
          <w:sz w:val="24"/>
          <w:szCs w:val="21"/>
          <w:u w:val="single"/>
        </w:rPr>
        <w:t xml:space="preserve">（编号全称），（项目全称）</w:t>
      </w:r>
      <w:r>
        <w:rPr>
          <w:rFonts w:hint="eastAsia" w:ascii="仿宋" w:hAnsi="仿宋" w:eastAsia="仿宋" w:cs="仿宋"/>
          <w:sz w:val="24"/>
          <w:szCs w:val="21"/>
        </w:rPr>
        <w:t xml:space="preserve">项目的政府采购活动，我联合体指定</w:t>
      </w:r>
      <w:r>
        <w:rPr>
          <w:rFonts w:hint="eastAsia" w:ascii="仿宋" w:hAnsi="仿宋" w:eastAsia="仿宋" w:cs="仿宋"/>
          <w:sz w:val="24"/>
          <w:szCs w:val="21"/>
          <w:u w:val="single"/>
        </w:rPr>
        <w:t xml:space="preserve">（供应商*）</w:t>
      </w:r>
      <w:r>
        <w:rPr>
          <w:rFonts w:hint="eastAsia" w:ascii="仿宋" w:hAnsi="仿宋" w:eastAsia="仿宋" w:cs="仿宋"/>
          <w:sz w:val="24"/>
          <w:szCs w:val="21"/>
        </w:rPr>
        <w:t xml:space="preserve">为牵头单位（牵头单位必须为联合体成员）。</w:t>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3、其中</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（小型、微型企业/残疾人福利性单位/监狱企业全称）为</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（小型、微型企业/残疾人福利性单位/监狱企业）企业，且我们约定该公司/单位所承担的合同金额将占本项目合同总金额的</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r/>
    </w:p>
    <w:p>
      <w:pPr>
        <w:ind w:firstLine="645"/>
        <w:spacing w:line="0" w:lineRule="atLeast"/>
        <w:rPr>
          <w:rFonts w:ascii="仿宋" w:hAnsi="仿宋" w:eastAsia="仿宋" w:cs="仿宋"/>
          <w:sz w:val="24"/>
          <w:szCs w:val="21"/>
        </w:rPr>
      </w:pPr>
      <w:r>
        <w:rPr>
          <w:rFonts w:ascii="仿宋" w:hAnsi="仿宋" w:eastAsia="仿宋" w:cs="仿宋"/>
          <w:sz w:val="24"/>
          <w:szCs w:val="21"/>
        </w:rPr>
      </w:r>
      <w:r/>
    </w:p>
    <w:p>
      <w:pPr>
        <w:pStyle w:val="665"/>
        <w:rPr>
          <w:rFonts w:ascii="仿宋" w:hAnsi="仿宋" w:eastAsia="仿宋" w:cs="仿宋"/>
        </w:rPr>
      </w:pPr>
      <w:r>
        <w:rPr>
          <w:rFonts w:ascii="仿宋" w:hAnsi="仿宋" w:eastAsia="仿宋" w:cs="仿宋"/>
        </w:rPr>
      </w:r>
      <w:r/>
    </w:p>
    <w:p>
      <w:pPr>
        <w:spacing w:line="0" w:lineRule="atLeast"/>
        <w:rPr>
          <w:rFonts w:ascii="仿宋" w:hAnsi="仿宋" w:eastAsia="仿宋" w:cs="仿宋"/>
          <w:sz w:val="24"/>
          <w:szCs w:val="21"/>
        </w:rPr>
      </w:pPr>
      <w:r>
        <w:rPr>
          <w:rFonts w:ascii="仿宋" w:hAnsi="仿宋" w:eastAsia="仿宋" w:cs="仿宋"/>
          <w:sz w:val="24"/>
          <w:szCs w:val="21"/>
        </w:rPr>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             联合体牵头单位名称：（加盖CA电子公章）    </w:t>
      </w:r>
      <w:r/>
    </w:p>
    <w:p>
      <w:pPr>
        <w:ind w:firstLine="645"/>
        <w:spacing w:line="0" w:lineRule="atLeast"/>
        <w:rPr>
          <w:rFonts w:ascii="仿宋" w:hAnsi="仿宋" w:eastAsia="仿宋" w:cs="仿宋"/>
          <w:sz w:val="24"/>
          <w:szCs w:val="21"/>
        </w:rPr>
      </w:pPr>
      <w:r>
        <w:rPr>
          <w:rFonts w:ascii="仿宋" w:hAnsi="仿宋" w:eastAsia="仿宋" w:cs="仿宋"/>
          <w:sz w:val="24"/>
          <w:szCs w:val="21"/>
        </w:rPr>
      </w:r>
      <w:r/>
    </w:p>
    <w:p>
      <w:pPr>
        <w:ind w:firstLine="2160"/>
        <w:spacing w:line="0" w:lineRule="atLeast"/>
        <w:rPr>
          <w:rFonts w:ascii="仿宋" w:hAnsi="仿宋" w:eastAsia="仿宋" w:cs="仿宋"/>
          <w:sz w:val="24"/>
          <w:szCs w:val="21"/>
        </w:rPr>
      </w:pPr>
      <w:r>
        <w:rPr>
          <w:rFonts w:hint="eastAsia" w:ascii="仿宋" w:hAnsi="仿宋" w:eastAsia="仿宋" w:cs="仿宋"/>
          <w:sz w:val="24"/>
          <w:szCs w:val="21"/>
        </w:rPr>
        <w:t xml:space="preserve">联合体其他成员单位名称：（加盖其他所有成员单位CA电子公章）      </w:t>
      </w:r>
      <w:r/>
    </w:p>
    <w:p>
      <w:pPr>
        <w:ind w:firstLine="2894"/>
        <w:spacing w:line="0" w:lineRule="atLeast"/>
        <w:rPr>
          <w:rFonts w:ascii="仿宋" w:hAnsi="仿宋" w:eastAsia="仿宋" w:cs="仿宋"/>
          <w:sz w:val="24"/>
          <w:szCs w:val="21"/>
          <w:highlight w:val="green"/>
        </w:rPr>
      </w:pPr>
      <w:r>
        <w:rPr>
          <w:rFonts w:ascii="仿宋" w:hAnsi="仿宋" w:eastAsia="仿宋" w:cs="仿宋"/>
          <w:sz w:val="24"/>
          <w:szCs w:val="21"/>
          <w:highlight w:val="green"/>
        </w:rPr>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             日期：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ind w:firstLine="645"/>
        <w:spacing w:line="560" w:lineRule="exact"/>
        <w:rPr>
          <w:rFonts w:ascii="仿宋" w:hAnsi="仿宋" w:eastAsia="仿宋" w:cs="仿宋"/>
          <w:sz w:val="24"/>
          <w:szCs w:val="21"/>
        </w:rPr>
      </w:pPr>
      <w:r>
        <w:rPr>
          <w:rFonts w:ascii="仿宋" w:hAnsi="仿宋" w:eastAsia="仿宋" w:cs="仿宋"/>
          <w:sz w:val="24"/>
          <w:szCs w:val="21"/>
        </w:rPr>
      </w:r>
      <w:r/>
    </w:p>
    <w:p>
      <w:pPr>
        <w:pStyle w:val="665"/>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sz w:val="24"/>
          <w:szCs w:val="21"/>
        </w:rPr>
      </w:pPr>
      <w:r>
        <w:rPr>
          <w:rFonts w:ascii="仿宋" w:hAnsi="仿宋" w:eastAsia="仿宋" w:cs="仿宋"/>
          <w:sz w:val="24"/>
          <w:szCs w:val="21"/>
        </w:rPr>
      </w:r>
      <w:r/>
    </w:p>
    <w:p>
      <w:pPr>
        <w:pStyle w:val="665"/>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b/>
          <w:bCs/>
        </w:rPr>
      </w:pPr>
      <w:r>
        <w:rPr>
          <w:rFonts w:ascii="仿宋" w:hAnsi="仿宋" w:eastAsia="仿宋" w:cs="仿宋"/>
          <w:b/>
          <w:bCs/>
        </w:rPr>
      </w:r>
      <w:r/>
    </w:p>
    <w:p>
      <w:pPr>
        <w:ind w:firstLine="482"/>
        <w:spacing w:line="0" w:lineRule="atLeast"/>
        <w:rPr>
          <w:rFonts w:ascii="仿宋" w:hAnsi="仿宋" w:eastAsia="仿宋" w:cs="仿宋"/>
          <w:b/>
          <w:bCs/>
          <w:sz w:val="24"/>
          <w:szCs w:val="21"/>
        </w:rPr>
      </w:pPr>
      <w:r>
        <w:rPr>
          <w:rFonts w:hint="eastAsia" w:ascii="仿宋" w:hAnsi="仿宋" w:eastAsia="仿宋" w:cs="仿宋"/>
          <w:b/>
          <w:bCs/>
          <w:sz w:val="24"/>
          <w:szCs w:val="21"/>
        </w:rPr>
        <w:t xml:space="preserve">备注：如果本项目接受联合体参与磋商，本磋商文件中要求加盖CA</w:t>
      </w:r>
      <w:r>
        <w:rPr>
          <w:rFonts w:hint="eastAsia" w:ascii="仿宋" w:hAnsi="仿宋" w:eastAsia="仿宋" w:cs="仿宋"/>
          <w:b/>
          <w:bCs/>
          <w:sz w:val="24"/>
          <w:szCs w:val="24"/>
        </w:rPr>
        <w:t xml:space="preserve">电子公章</w:t>
      </w:r>
      <w:r>
        <w:rPr>
          <w:rFonts w:hint="eastAsia" w:ascii="仿宋" w:hAnsi="仿宋" w:eastAsia="仿宋" w:cs="仿宋"/>
          <w:b/>
          <w:bCs/>
          <w:sz w:val="24"/>
          <w:szCs w:val="21"/>
        </w:rPr>
        <w:t xml:space="preserve">的地方，仅需加盖牵头单位的</w:t>
      </w:r>
      <w:r>
        <w:rPr>
          <w:rFonts w:hint="eastAsia" w:ascii="仿宋" w:hAnsi="仿宋" w:eastAsia="仿宋" w:cs="仿宋"/>
          <w:b/>
          <w:bCs/>
          <w:sz w:val="24"/>
          <w:szCs w:val="24"/>
        </w:rPr>
        <w:t xml:space="preserve">CA电子</w:t>
      </w:r>
      <w:r>
        <w:rPr>
          <w:rFonts w:hint="eastAsia" w:ascii="仿宋" w:hAnsi="仿宋" w:eastAsia="仿宋" w:cs="仿宋"/>
          <w:b/>
          <w:bCs/>
          <w:sz w:val="24"/>
          <w:szCs w:val="21"/>
        </w:rPr>
        <w:t xml:space="preserve">公章【本附件《联合体协议》除外】。</w:t>
      </w:r>
      <w:r/>
    </w:p>
    <w:p>
      <w:pPr>
        <w:spacing w:before="240" w:line="312" w:lineRule="auto"/>
        <w:rPr>
          <w:rFonts w:ascii="仿宋" w:hAnsi="仿宋" w:eastAsia="仿宋" w:cs="仿宋"/>
          <w:b/>
          <w:bCs/>
          <w:strike/>
          <w:color w:val="ff0000"/>
          <w:sz w:val="24"/>
          <w:szCs w:val="24"/>
        </w:rPr>
      </w:pPr>
      <w:r>
        <w:rPr>
          <w:rFonts w:ascii="仿宋" w:hAnsi="仿宋" w:eastAsia="仿宋" w:cs="仿宋"/>
          <w:b/>
          <w:bCs/>
          <w:strike/>
          <w:color w:val="ff0000"/>
          <w:sz w:val="24"/>
          <w:szCs w:val="24"/>
        </w:rPr>
      </w:r>
      <w:r/>
    </w:p>
    <w:p>
      <w:pPr>
        <w:jc w:val="center"/>
        <w:spacing w:line="0" w:lineRule="atLeast"/>
        <w:rPr>
          <w:rFonts w:ascii="仿宋" w:hAnsi="仿宋" w:eastAsia="仿宋" w:cs="仿宋"/>
          <w:b/>
          <w:strike/>
          <w:sz w:val="28"/>
          <w:szCs w:val="28"/>
        </w:rPr>
      </w:pPr>
      <w:r>
        <w:rPr>
          <w:rFonts w:ascii="仿宋" w:hAnsi="仿宋" w:eastAsia="仿宋" w:cs="仿宋"/>
          <w:b/>
          <w:strike/>
          <w:sz w:val="28"/>
          <w:szCs w:val="28"/>
        </w:rPr>
      </w:r>
      <w:r/>
    </w:p>
    <w:p>
      <w:pPr>
        <w:pStyle w:val="665"/>
        <w:ind w:firstLine="562"/>
        <w:rPr>
          <w:rFonts w:ascii="仿宋" w:hAnsi="仿宋" w:eastAsia="仿宋" w:cs="仿宋"/>
          <w:b/>
          <w:strike/>
          <w:sz w:val="28"/>
          <w:szCs w:val="28"/>
        </w:rPr>
      </w:pPr>
      <w:r>
        <w:rPr>
          <w:rFonts w:ascii="仿宋" w:hAnsi="仿宋" w:eastAsia="仿宋" w:cs="仿宋"/>
          <w:b/>
          <w:strike/>
          <w:sz w:val="28"/>
          <w:szCs w:val="28"/>
        </w:rPr>
      </w:r>
      <w:r/>
    </w:p>
    <w:p>
      <w:pPr>
        <w:rPr>
          <w:rFonts w:ascii="仿宋" w:hAnsi="仿宋" w:eastAsia="仿宋" w:cs="仿宋"/>
          <w:b/>
          <w:strike/>
          <w:sz w:val="28"/>
          <w:szCs w:val="28"/>
        </w:rPr>
      </w:pPr>
      <w:r>
        <w:rPr>
          <w:rFonts w:ascii="仿宋" w:hAnsi="仿宋" w:eastAsia="仿宋" w:cs="仿宋"/>
          <w:b/>
          <w:strike/>
          <w:sz w:val="28"/>
          <w:szCs w:val="28"/>
        </w:rPr>
      </w:r>
      <w:r/>
    </w:p>
    <w:p>
      <w:pPr>
        <w:contextualSpacing/>
        <w:spacing w:line="300" w:lineRule="auto"/>
        <w:rPr>
          <w:rFonts w:ascii="仿宋" w:hAnsi="仿宋" w:eastAsia="仿宋" w:cs="仿宋"/>
          <w:b/>
          <w:sz w:val="28"/>
          <w:szCs w:val="28"/>
        </w:rPr>
      </w:pPr>
      <w:r>
        <w:rPr>
          <w:rFonts w:ascii="仿宋" w:hAnsi="仿宋" w:eastAsia="仿宋" w:cs="仿宋"/>
          <w:b/>
          <w:sz w:val="28"/>
          <w:szCs w:val="28"/>
        </w:rPr>
      </w:r>
      <w:r/>
    </w:p>
    <w:p>
      <w:pPr>
        <w:contextualSpacing/>
        <w:spacing w:line="300" w:lineRule="auto"/>
        <w:rPr>
          <w:rFonts w:ascii="仿宋" w:hAnsi="仿宋" w:eastAsia="仿宋" w:cs="仿宋"/>
          <w:b/>
          <w:sz w:val="28"/>
          <w:szCs w:val="28"/>
        </w:rPr>
      </w:pPr>
      <w:r>
        <w:rPr>
          <w:rFonts w:ascii="仿宋" w:hAnsi="仿宋" w:eastAsia="仿宋" w:cs="仿宋"/>
          <w:b/>
          <w:sz w:val="28"/>
          <w:szCs w:val="28"/>
        </w:rPr>
      </w:r>
      <w:r/>
    </w:p>
    <w:p>
      <w:pPr>
        <w:contextualSpacing/>
        <w:jc w:val="left"/>
        <w:spacing w:line="300" w:lineRule="auto"/>
        <w:rPr>
          <w:rFonts w:ascii="仿宋" w:hAnsi="仿宋" w:eastAsia="仿宋" w:cs="仿宋"/>
          <w:b/>
          <w:sz w:val="28"/>
          <w:szCs w:val="28"/>
        </w:rPr>
      </w:pPr>
      <w:r>
        <w:rPr>
          <w:rFonts w:hint="eastAsia" w:ascii="仿宋" w:hAnsi="仿宋" w:eastAsia="仿宋" w:cs="仿宋"/>
          <w:b/>
          <w:sz w:val="28"/>
          <w:szCs w:val="28"/>
        </w:rPr>
        <w:t xml:space="preserve">附件9</w:t>
      </w:r>
      <w:r/>
    </w:p>
    <w:p>
      <w:pPr>
        <w:contextualSpacing/>
        <w:ind w:firstLine="3373"/>
        <w:spacing w:line="300" w:lineRule="auto"/>
        <w:rPr>
          <w:rFonts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附件9-1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供应商提交的响应文件中与磋商文件第四章“采购需求”中的技术要求（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color w:val="000000"/>
          <w:sz w:val="24"/>
        </w:rPr>
        <w:t xml:space="preserve">）如有偏离的，应逐条填列在偏离表中。</w:t>
      </w:r>
      <w:r>
        <w:rPr>
          <w:rFonts w:hint="eastAsia" w:ascii="仿宋" w:hAnsi="仿宋" w:eastAsia="仿宋" w:cs="仿宋"/>
          <w:b/>
          <w:bCs/>
          <w:color w:val="000000"/>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2.“偏离说明”一栏选择“正偏离”、“无偏离”、“负偏离”进行填写。未填写的内容视为完全响应本磋商文件要求。正偏离、无偏离的确认和负偏离是否响应磋商文件，由磋商小组认定。</w:t>
      </w:r>
      <w:r/>
    </w:p>
    <w:p>
      <w:pPr>
        <w:pStyle w:val="665"/>
        <w:rPr>
          <w:rFonts w:ascii="仿宋" w:hAnsi="仿宋" w:eastAsia="仿宋" w:cs="仿宋"/>
        </w:rPr>
      </w:pPr>
      <w:r>
        <w:rPr>
          <w:rFonts w:ascii="仿宋" w:hAnsi="仿宋" w:eastAsia="仿宋" w:cs="仿宋"/>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附件10</w:t>
      </w:r>
      <w:r/>
    </w:p>
    <w:p>
      <w:pPr>
        <w:rPr>
          <w:rFonts w:ascii="仿宋" w:hAnsi="仿宋" w:eastAsia="仿宋" w:cs="仿宋"/>
          <w:b/>
          <w:sz w:val="28"/>
          <w:szCs w:val="28"/>
        </w:rPr>
      </w:pPr>
      <w:r>
        <w:rPr>
          <w:rFonts w:hint="eastAsia" w:ascii="仿宋" w:hAnsi="仿宋" w:eastAsia="仿宋" w:cs="仿宋"/>
          <w:b/>
          <w:sz w:val="28"/>
          <w:szCs w:val="28"/>
        </w:rPr>
        <w:t xml:space="preserve"> </w:t>
      </w:r>
      <w:r/>
    </w:p>
    <w:p>
      <w:pPr>
        <w:ind w:firstLine="562"/>
        <w:jc w:val="center"/>
        <w:rPr>
          <w:rFonts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sz w:val="24"/>
        </w:rPr>
      </w:pPr>
      <w:r>
        <w:rPr>
          <w:rFonts w:ascii="仿宋" w:hAnsi="仿宋" w:eastAsia="仿宋" w:cs="仿宋"/>
          <w:sz w:val="24"/>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附件11</w:t>
      </w:r>
      <w:r/>
    </w:p>
    <w:p>
      <w:pPr>
        <w:jc w:val="center"/>
        <w:rPr>
          <w:rFonts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665"/>
        <w:rPr>
          <w:rFonts w:ascii="仿宋" w:hAnsi="仿宋" w:eastAsia="仿宋" w:cs="仿宋"/>
        </w:rPr>
      </w:pPr>
      <w:r>
        <w:rPr>
          <w:rFonts w:ascii="仿宋" w:hAnsi="仿宋" w:eastAsia="仿宋" w:cs="仿宋"/>
        </w:rPr>
      </w:r>
      <w:r/>
    </w:p>
    <w:tbl>
      <w:tblPr>
        <w:tblStyle w:val="6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2.如果采购文件要求提供证明材料，供应商必须将证明材料列于该表之下，否则作无效响应处理。</w:t>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pStyle w:val="665"/>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665"/>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665"/>
        <w:ind w:firstLine="480"/>
        <w:rPr>
          <w:rFonts w:ascii="仿宋" w:hAnsi="仿宋" w:eastAsia="仿宋" w:cs="仿宋"/>
          <w:bCs/>
          <w:sz w:val="24"/>
          <w:szCs w:val="21"/>
        </w:rPr>
      </w:pPr>
      <w:r>
        <w:rPr>
          <w:rFonts w:ascii="仿宋" w:hAnsi="仿宋" w:eastAsia="仿宋" w:cs="仿宋"/>
          <w:bCs/>
          <w:sz w:val="24"/>
          <w:szCs w:val="21"/>
        </w:rPr>
      </w:r>
      <w:bookmarkEnd w:id="202"/>
      <w:bookmarkEnd w:id="203"/>
      <w:bookmarkEnd w:id="222"/>
      <w:r/>
    </w:p>
    <w:p>
      <w:pPr>
        <w:jc w:val="left"/>
        <w:rPr>
          <w:rFonts w:ascii="仿宋" w:hAnsi="仿宋" w:eastAsia="仿宋" w:cs="仿宋"/>
          <w:b/>
          <w:sz w:val="24"/>
          <w:szCs w:val="24"/>
        </w:rPr>
      </w:pPr>
      <w:r>
        <w:rPr>
          <w:rFonts w:ascii="仿宋" w:hAnsi="仿宋" w:eastAsia="仿宋" w:cs="仿宋"/>
          <w:b/>
          <w:sz w:val="24"/>
          <w:szCs w:val="24"/>
        </w:rPr>
      </w:r>
      <w:r/>
    </w:p>
    <w:p>
      <w:pPr>
        <w:pStyle w:val="665"/>
        <w:ind w:firstLine="482"/>
        <w:rPr>
          <w:rFonts w:ascii="仿宋" w:hAnsi="仿宋" w:eastAsia="仿宋" w:cs="仿宋"/>
          <w:b/>
          <w:sz w:val="24"/>
          <w:szCs w:val="24"/>
        </w:rPr>
      </w:pPr>
      <w:r>
        <w:rPr>
          <w:rFonts w:ascii="仿宋" w:hAnsi="仿宋" w:eastAsia="仿宋" w:cs="仿宋"/>
          <w:b/>
          <w:sz w:val="24"/>
          <w:szCs w:val="24"/>
        </w:rPr>
      </w:r>
      <w:r/>
    </w:p>
    <w:p>
      <w:pPr>
        <w:rPr>
          <w:rFonts w:ascii="仿宋" w:hAnsi="仿宋" w:eastAsia="仿宋" w:cs="仿宋"/>
        </w:rPr>
      </w:pPr>
      <w:r>
        <w:rPr>
          <w:rFonts w:ascii="仿宋" w:hAnsi="仿宋" w:eastAsia="仿宋" w:cs="仿宋"/>
        </w:rPr>
      </w:r>
      <w:r/>
    </w:p>
    <w:p>
      <w:pPr>
        <w:pStyle w:val="665"/>
        <w:rPr>
          <w:rFonts w:ascii="仿宋" w:hAnsi="仿宋" w:eastAsia="仿宋" w:cs="仿宋"/>
        </w:rPr>
      </w:pPr>
      <w:r>
        <w:rPr>
          <w:rFonts w:ascii="仿宋" w:hAnsi="仿宋" w:eastAsia="仿宋" w:cs="仿宋"/>
        </w:rPr>
      </w:r>
      <w:r/>
    </w:p>
    <w:p>
      <w:pPr>
        <w:jc w:val="left"/>
        <w:rPr>
          <w:rFonts w:ascii="仿宋" w:hAnsi="仿宋" w:eastAsia="仿宋" w:cs="仿宋"/>
          <w:b/>
          <w:sz w:val="28"/>
          <w:szCs w:val="28"/>
        </w:rPr>
      </w:pPr>
      <w:r>
        <w:rPr>
          <w:rFonts w:hint="eastAsia" w:ascii="仿宋" w:hAnsi="仿宋" w:eastAsia="仿宋" w:cs="仿宋"/>
          <w:b/>
          <w:sz w:val="28"/>
          <w:szCs w:val="28"/>
        </w:rPr>
        <w:t xml:space="preserve">附件12                 </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ascii="仿宋" w:hAnsi="仿宋" w:eastAsia="仿宋" w:cs="仿宋"/>
          <w:sz w:val="24"/>
          <w:szCs w:val="24"/>
        </w:rPr>
      </w:pPr>
      <w:r>
        <w:rPr>
          <w:rFonts w:hint="eastAsia" w:ascii="仿宋" w:hAnsi="仿宋" w:eastAsia="仿宋" w:cs="仿宋"/>
          <w:sz w:val="24"/>
          <w:szCs w:val="24"/>
        </w:rPr>
        <w:t xml:space="preserve">签字(签章)：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8"/>
          <w:szCs w:val="28"/>
          <w:lang w:bidi="ar"/>
        </w:rPr>
      </w:pPr>
      <w:r>
        <w:rPr>
          <w:rFonts w:ascii="仿宋" w:hAnsi="仿宋" w:eastAsia="仿宋" w:cs="仿宋"/>
          <w:sz w:val="28"/>
          <w:szCs w:val="28"/>
          <w:lang w:bidi="ar"/>
        </w:rPr>
      </w:r>
      <w:r/>
    </w:p>
    <w:p>
      <w:pPr>
        <w:jc w:val="left"/>
        <w:widowControl/>
        <w:rPr>
          <w:rFonts w:ascii="仿宋" w:hAnsi="仿宋" w:eastAsia="仿宋" w:cs="仿宋"/>
          <w:b/>
          <w:bCs/>
          <w:sz w:val="28"/>
          <w:szCs w:val="28"/>
          <w:lang w:bidi="ar"/>
        </w:rPr>
        <w:outlineLvl w:val="0"/>
      </w:pPr>
      <w:r/>
      <w:bookmarkStart w:id="226" w:name="_Toc5831"/>
      <w:r/>
      <w:bookmarkStart w:id="227" w:name="_Toc31274"/>
      <w:r/>
      <w:bookmarkStart w:id="228" w:name="_Toc1372"/>
      <w:r>
        <w:rPr>
          <w:rFonts w:hint="eastAsia" w:ascii="仿宋" w:hAnsi="仿宋" w:eastAsia="仿宋" w:cs="仿宋"/>
          <w:b/>
          <w:bCs/>
          <w:sz w:val="28"/>
          <w:szCs w:val="28"/>
          <w:lang w:bidi="ar"/>
        </w:rPr>
        <w:t xml:space="preserve">附件1</w:t>
      </w:r>
      <w:bookmarkEnd w:id="226"/>
      <w:r/>
      <w:bookmarkEnd w:id="227"/>
      <w:r/>
      <w:bookmarkEnd w:id="228"/>
      <w:r>
        <w:rPr>
          <w:rFonts w:hint="eastAsia" w:ascii="仿宋" w:hAnsi="仿宋" w:eastAsia="仿宋" w:cs="仿宋"/>
          <w:b/>
          <w:bCs/>
          <w:sz w:val="28"/>
          <w:szCs w:val="28"/>
          <w:lang w:bidi="ar"/>
        </w:rPr>
        <w:t xml:space="preserve">3</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 xml:space="preserve">〔2023〕</w:t>
      </w:r>
      <w:r>
        <w:rPr>
          <w:rFonts w:hint="eastAsia" w:ascii="仿宋" w:hAnsi="仿宋" w:eastAsia="仿宋" w:cs="仿宋"/>
          <w:sz w:val="24"/>
          <w:szCs w:val="24"/>
        </w:rPr>
        <w:t xml:space="preserve">57号）和《关于深入开展南通市政府采购线上合同信用融资业务的通知》（通财购</w:t>
      </w:r>
      <w:r>
        <w:rPr>
          <w:rFonts w:hint="eastAsia" w:ascii="仿宋" w:hAnsi="仿宋" w:eastAsia="仿宋" w:cs="仿宋"/>
          <w:color w:val="ff0000"/>
          <w:sz w:val="24"/>
          <w:szCs w:val="24"/>
        </w:rPr>
        <w:t xml:space="preserve">〔2022〕</w:t>
      </w:r>
      <w:r>
        <w:rPr>
          <w:rFonts w:hint="eastAsia" w:ascii="仿宋" w:hAnsi="仿宋" w:eastAsia="仿宋" w:cs="仿宋"/>
          <w:sz w:val="24"/>
          <w:szCs w:val="24"/>
        </w:rPr>
        <w:t xml:space="preserve">68号），按照双方自愿的原则提供便捷、优惠的服务。</w:t>
      </w:r>
      <w:r/>
    </w:p>
    <w:p>
      <w:pPr>
        <w:rPr>
          <w:rFonts w:ascii="仿宋" w:hAnsi="仿宋" w:eastAsia="仿宋" w:cs="仿宋"/>
          <w:sz w:val="24"/>
          <w:szCs w:val="24"/>
        </w:rPr>
      </w:pPr>
      <w:r>
        <w:rPr>
          <w:rFonts w:ascii="仿宋" w:hAnsi="仿宋" w:eastAsia="仿宋" w:cs="仿宋"/>
          <w:sz w:val="24"/>
          <w:szCs w:val="24"/>
        </w:rPr>
      </w:r>
      <w:r/>
    </w:p>
    <w:p>
      <w:pPr>
        <w:spacing w:line="300" w:lineRule="auto"/>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rPr>
      </w:pPr>
      <w:r>
        <w:rPr>
          <w:rFonts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66"/>
        <w:rFonts w:ascii="宋体" w:hAnsi="宋体"/>
      </w:rPr>
      <w:framePr w:wrap="around" w:vAnchor="text" w:hAnchor="margin" w:xAlign="center" w:y="1"/>
    </w:pPr>
    <w:r>
      <w:rPr>
        <w:rFonts w:ascii="宋体" w:hAnsi="宋体"/>
      </w:rPr>
      <w:fldChar w:fldCharType="begin"/>
    </w:r>
    <w:r>
      <w:rPr>
        <w:rStyle w:val="666"/>
        <w:rFonts w:ascii="宋体" w:hAnsi="宋体"/>
      </w:rPr>
      <w:instrText xml:space="preserve">PAGE  </w:instrText>
    </w:r>
    <w:r>
      <w:rPr>
        <w:rFonts w:ascii="宋体" w:hAnsi="宋体"/>
      </w:rPr>
      <w:fldChar w:fldCharType="separate"/>
    </w:r>
    <w:r>
      <w:rPr>
        <w:rStyle w:val="666"/>
        <w:rFonts w:ascii="宋体" w:hAnsi="宋体"/>
      </w:rPr>
      <w:t xml:space="preserve">５５</w:t>
    </w:r>
    <w:r>
      <w:rPr>
        <w:rFonts w:ascii="宋体" w:hAnsi="宋体"/>
      </w:rPr>
      <w:fldChar w:fldCharType="end"/>
    </w:r>
    <w:r/>
  </w:p>
  <w:p>
    <w:pPr>
      <w:pStyle w:val="6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66"/>
      </w:rPr>
      <w:framePr w:wrap="around" w:vAnchor="text" w:hAnchor="margin" w:xAlign="center" w:y="1"/>
    </w:pPr>
    <w:r>
      <w:fldChar w:fldCharType="begin"/>
    </w:r>
    <w:r>
      <w:rPr>
        <w:rStyle w:val="666"/>
      </w:rPr>
      <w:instrText xml:space="preserve">PAGE  </w:instrText>
    </w:r>
    <w:r>
      <w:fldChar w:fldCharType="separate"/>
    </w:r>
    <w:r>
      <w:rPr>
        <w:rStyle w:val="666"/>
      </w:rPr>
      <w:t xml:space="preserve">1</w:t>
    </w:r>
    <w:r>
      <w:fldChar w:fldCharType="end"/>
    </w:r>
    <w:r/>
  </w:p>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4"/>
    <w:link w:val="12"/>
    <w:uiPriority w:val="9"/>
    <w:rPr>
      <w:rFonts w:ascii="Arial" w:hAnsi="Arial" w:eastAsia="Arial" w:cs="Arial"/>
      <w:sz w:val="40"/>
      <w:szCs w:val="40"/>
    </w:rPr>
  </w:style>
  <w:style w:type="character" w:styleId="15">
    <w:name w:val="Heading 2 Char"/>
    <w:basedOn w:val="654"/>
    <w:link w:val="653"/>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4"/>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2"/>
    <w:uiPriority w:val="99"/>
  </w:style>
  <w:style w:type="character" w:styleId="44">
    <w:name w:val="Footer Char"/>
    <w:basedOn w:val="654"/>
    <w:link w:val="661"/>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7">
    <w:name w:val="Table Grid"/>
    <w:basedOn w:val="6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6"/>
    <w:uiPriority w:val="0"/>
    <w:qFormat/>
    <w:pPr>
      <w:jc w:val="both"/>
      <w:widowControl w:val="off"/>
    </w:pPr>
    <w:rPr>
      <w:rFonts w:ascii="Calibri" w:hAnsi="Calibri" w:eastAsia="宋体" w:cs="Times New Roman"/>
      <w:sz w:val="21"/>
      <w:szCs w:val="22"/>
      <w:lang w:val="en-US" w:eastAsia="zh-CN" w:bidi="ar-SA"/>
    </w:rPr>
  </w:style>
  <w:style w:type="paragraph" w:styleId="653">
    <w:name w:val="Heading 2"/>
    <w:basedOn w:val="652"/>
    <w:next w:val="652"/>
    <w:uiPriority w:val="0"/>
    <w:semiHidden/>
    <w:unhideWhenUsed/>
    <w:qFormat/>
    <w:pPr>
      <w:jc w:val="left"/>
      <w:spacing w:beforeAutospacing="1" w:afterAutospacing="1"/>
      <w:outlineLvl w:val="1"/>
    </w:pPr>
    <w:rPr>
      <w:rFonts w:hint="eastAsia" w:ascii="宋体" w:hAnsi="宋体"/>
      <w:b/>
      <w:bCs/>
      <w:sz w:val="36"/>
      <w:szCs w:val="36"/>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w:basedOn w:val="652"/>
    <w:next w:val="652"/>
    <w:uiPriority w:val="0"/>
    <w:qFormat/>
    <w:rPr>
      <w:rFonts w:ascii="楷体_GB2312" w:hAnsi="Arial" w:eastAsia="楷体_GB2312"/>
      <w:sz w:val="28"/>
      <w:szCs w:val="28"/>
    </w:rPr>
  </w:style>
  <w:style w:type="paragraph" w:styleId="657">
    <w:name w:val="annotation text"/>
    <w:basedOn w:val="652"/>
    <w:uiPriority w:val="0"/>
    <w:unhideWhenUsed/>
    <w:qFormat/>
    <w:pPr>
      <w:jc w:val="left"/>
    </w:pPr>
  </w:style>
  <w:style w:type="paragraph" w:styleId="658">
    <w:name w:val="Body Text Indent"/>
    <w:basedOn w:val="652"/>
    <w:next w:val="659"/>
    <w:uiPriority w:val="0"/>
    <w:unhideWhenUsed/>
    <w:qFormat/>
    <w:pPr>
      <w:ind w:left="420"/>
      <w:spacing w:after="120"/>
    </w:pPr>
  </w:style>
  <w:style w:type="paragraph" w:styleId="659">
    <w:name w:val="envelope return"/>
    <w:basedOn w:val="652"/>
    <w:uiPriority w:val="99"/>
    <w:unhideWhenUsed/>
    <w:qFormat/>
    <w:rPr>
      <w:rFonts w:ascii="Arial" w:hAnsi="Arial" w:eastAsia="楷体_GB2312"/>
      <w:sz w:val="26"/>
      <w:szCs w:val="20"/>
    </w:rPr>
  </w:style>
  <w:style w:type="paragraph" w:styleId="660">
    <w:name w:val="Balloon Text"/>
    <w:basedOn w:val="652"/>
    <w:link w:val="677"/>
    <w:uiPriority w:val="0"/>
    <w:qFormat/>
    <w:rPr>
      <w:sz w:val="18"/>
      <w:szCs w:val="18"/>
    </w:rPr>
  </w:style>
  <w:style w:type="paragraph" w:styleId="661">
    <w:name w:val="Footer"/>
    <w:basedOn w:val="652"/>
    <w:uiPriority w:val="0"/>
    <w:qFormat/>
    <w:pPr>
      <w:jc w:val="left"/>
      <w:tabs>
        <w:tab w:val="center" w:pos="4153" w:leader="none"/>
        <w:tab w:val="right" w:pos="8306" w:leader="none"/>
      </w:tabs>
    </w:pPr>
    <w:rPr>
      <w:rFonts w:ascii="Times New Roman" w:hAnsi="Times New Roman"/>
      <w:sz w:val="18"/>
      <w:szCs w:val="18"/>
    </w:rPr>
  </w:style>
  <w:style w:type="paragraph" w:styleId="662">
    <w:name w:val="Header"/>
    <w:basedOn w:val="65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63">
    <w:name w:val="toc 1"/>
    <w:basedOn w:val="652"/>
    <w:next w:val="652"/>
    <w:uiPriority w:val="0"/>
    <w:qFormat/>
  </w:style>
  <w:style w:type="paragraph" w:styleId="664">
    <w:name w:val="Normal (Web)"/>
    <w:basedOn w:val="652"/>
    <w:uiPriority w:val="0"/>
    <w:qFormat/>
    <w:rPr>
      <w:sz w:val="24"/>
    </w:rPr>
  </w:style>
  <w:style w:type="paragraph" w:styleId="665">
    <w:name w:val="Body Text First Indent 2"/>
    <w:basedOn w:val="658"/>
    <w:next w:val="652"/>
    <w:uiPriority w:val="0"/>
    <w:qFormat/>
    <w:pPr>
      <w:ind w:left="0" w:firstLine="420"/>
      <w:spacing w:after="0" w:line="360" w:lineRule="auto"/>
    </w:pPr>
    <w:rPr>
      <w:rFonts w:ascii="宋体" w:hAnsi="宋体"/>
      <w:szCs w:val="20"/>
    </w:rPr>
  </w:style>
  <w:style w:type="character" w:styleId="666">
    <w:name w:val="page number"/>
    <w:uiPriority w:val="0"/>
    <w:qFormat/>
  </w:style>
  <w:style w:type="character" w:styleId="667">
    <w:name w:val="annotation reference"/>
    <w:basedOn w:val="654"/>
    <w:uiPriority w:val="0"/>
    <w:qFormat/>
    <w:rPr>
      <w:sz w:val="21"/>
      <w:szCs w:val="21"/>
    </w:rPr>
  </w:style>
  <w:style w:type="paragraph" w:styleId="668" w:customStyle="1">
    <w:name w:val="目录 82"/>
    <w:next w:val="652"/>
    <w:uiPriority w:val="0"/>
    <w:qFormat/>
    <w:pPr>
      <w:ind w:left="2550"/>
      <w:jc w:val="both"/>
    </w:pPr>
    <w:rPr>
      <w:rFonts w:ascii="Calibri" w:hAnsi="Calibri" w:eastAsia="宋体" w:cs="Times New Roman"/>
      <w:sz w:val="21"/>
      <w:lang w:val="en-US" w:eastAsia="zh-CN" w:bidi="ar-SA"/>
    </w:rPr>
  </w:style>
  <w:style w:type="paragraph" w:styleId="669"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70" w:customStyle="1">
    <w:name w:val="WPSOffice手动目录 1"/>
    <w:uiPriority w:val="0"/>
    <w:qFormat/>
    <w:rPr>
      <w:rFonts w:ascii="Times New Roman" w:hAnsi="Times New Roman" w:eastAsia="宋体" w:cs="Times New Roman"/>
      <w:lang w:val="en-US" w:eastAsia="zh-CN" w:bidi="ar-SA"/>
    </w:rPr>
  </w:style>
  <w:style w:type="paragraph" w:styleId="671" w:customStyle="1">
    <w:name w:val="正文首行缩进11"/>
    <w:basedOn w:val="672"/>
    <w:uiPriority w:val="0"/>
    <w:qFormat/>
    <w:pPr>
      <w:ind w:firstLine="200"/>
      <w:spacing w:line="360" w:lineRule="auto"/>
    </w:pPr>
    <w:rPr>
      <w:rFonts w:ascii="仿宋_GB2312" w:eastAsia="仿宋_GB2312"/>
      <w:sz w:val="30"/>
      <w:szCs w:val="30"/>
    </w:rPr>
  </w:style>
  <w:style w:type="paragraph" w:styleId="672" w:customStyle="1">
    <w:name w:val="正文文本1"/>
    <w:basedOn w:val="652"/>
    <w:next w:val="652"/>
    <w:uiPriority w:val="0"/>
    <w:qFormat/>
    <w:rPr>
      <w:rFonts w:ascii="楷体_GB2312" w:hAnsi="Arial" w:eastAsia="楷体_GB2312"/>
      <w:sz w:val="28"/>
      <w:szCs w:val="28"/>
    </w:rPr>
  </w:style>
  <w:style w:type="paragraph" w:styleId="673" w:customStyle="1">
    <w:name w:val="正文首行缩进1"/>
    <w:basedOn w:val="674"/>
    <w:uiPriority w:val="0"/>
    <w:qFormat/>
    <w:pPr>
      <w:ind w:firstLine="420"/>
      <w:spacing w:after="120"/>
    </w:pPr>
    <w:rPr>
      <w:rFonts w:ascii="Times New Roman" w:eastAsia="宋体"/>
      <w:szCs w:val="24"/>
    </w:rPr>
  </w:style>
  <w:style w:type="paragraph" w:styleId="674" w:customStyle="1">
    <w:name w:val="正文文本11"/>
    <w:basedOn w:val="652"/>
    <w:next w:val="652"/>
    <w:uiPriority w:val="0"/>
    <w:qFormat/>
    <w:rPr>
      <w:rFonts w:ascii="楷体_GB2312" w:hAnsi="Arial" w:eastAsia="楷体_GB2312"/>
      <w:sz w:val="28"/>
      <w:szCs w:val="28"/>
    </w:rPr>
  </w:style>
  <w:style w:type="character" w:styleId="675" w:customStyle="1">
    <w:name w:val="s"/>
    <w:basedOn w:val="654"/>
    <w:uiPriority w:val="0"/>
    <w:qFormat/>
  </w:style>
  <w:style w:type="paragraph" w:styleId="676" w:customStyle="1">
    <w:name w:val="首行缩进"/>
    <w:basedOn w:val="652"/>
    <w:uiPriority w:val="0"/>
    <w:qFormat/>
    <w:rPr>
      <w:lang w:val="zh-CN"/>
    </w:rPr>
  </w:style>
  <w:style w:type="character" w:styleId="677" w:customStyle="1">
    <w:name w:val="批注框文本 Char"/>
    <w:basedOn w:val="654"/>
    <w:link w:val="660"/>
    <w:uiPriority w:val="0"/>
    <w:qFormat/>
    <w:rPr>
      <w:rFonts w:ascii="Calibri" w:hAnsi="Calibri"/>
      <w:sz w:val="18"/>
      <w:szCs w:val="18"/>
    </w:rPr>
  </w:style>
  <w:style w:type="numbering" w:styleId="7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梁静靖</cp:lastModifiedBy>
  <cp:revision>3</cp:revision>
  <dcterms:created xsi:type="dcterms:W3CDTF">2025-12-10T07:13:00Z</dcterms:created>
  <dcterms:modified xsi:type="dcterms:W3CDTF">2025-12-15T06:44:28Z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C39C598C477344C0871C2E8D63FD3856_13</vt:lpwstr>
  </property>
  <property fmtid="{D5CDD505-2E9C-101B-9397-08002B2CF9AE}" pid="4" name="KSOTemplateDocerSaveRecord">
    <vt:lpwstr>eyJoZGlkIjoiYjc0MTZkN2E1ZGQzZDNmMDAzNGQ1YjVjNWNjYzhiMWUiLCJ1c2VySWQiOiIxMjE3NjkyMDY3In0=</vt:lpwstr>
  </property>
</Properties>
</file>